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4175A">
      <w:pPr>
        <w:ind w:firstLine="2530" w:firstLineChars="9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852 应用经济学综合</w:t>
      </w:r>
    </w:p>
    <w:p w14:paraId="07C33D52">
      <w:pPr>
        <w:widowControl/>
        <w:wordWrap w:val="0"/>
        <w:spacing w:line="360" w:lineRule="auto"/>
        <w:jc w:val="left"/>
        <w:rPr>
          <w:rFonts w:ascii="Calibri" w:hAnsi="Calibri" w:cs="宋体"/>
          <w:kern w:val="0"/>
          <w:sz w:val="24"/>
        </w:rPr>
      </w:pPr>
    </w:p>
    <w:p w14:paraId="2971498B">
      <w:pPr>
        <w:widowControl/>
        <w:wordWrap w:val="0"/>
        <w:spacing w:line="360" w:lineRule="auto"/>
        <w:jc w:val="left"/>
        <w:rPr>
          <w:rFonts w:ascii="Calibri" w:hAnsi="Calibri" w:cs="宋体"/>
          <w:b/>
          <w:bCs/>
          <w:kern w:val="0"/>
          <w:sz w:val="24"/>
        </w:rPr>
      </w:pPr>
      <w:r>
        <w:rPr>
          <w:rFonts w:hint="eastAsia" w:ascii="Calibri" w:hAnsi="Calibri" w:cs="宋体"/>
          <w:b/>
          <w:bCs/>
          <w:kern w:val="0"/>
          <w:sz w:val="24"/>
        </w:rPr>
        <w:t>一、</w:t>
      </w:r>
      <w:r>
        <w:rPr>
          <w:rFonts w:ascii="Calibri" w:hAnsi="Calibri" w:cs="宋体"/>
          <w:b/>
          <w:bCs/>
          <w:kern w:val="0"/>
          <w:sz w:val="24"/>
        </w:rPr>
        <w:t>考试形式和试卷结构</w:t>
      </w:r>
    </w:p>
    <w:p w14:paraId="7A1F2FCF">
      <w:pPr>
        <w:widowControl/>
        <w:wordWrap w:val="0"/>
        <w:spacing w:line="360" w:lineRule="auto"/>
        <w:jc w:val="left"/>
        <w:rPr>
          <w:rFonts w:ascii="Calibri" w:hAnsi="Calibri" w:cs="宋体"/>
          <w:b/>
          <w:kern w:val="0"/>
          <w:sz w:val="24"/>
        </w:rPr>
      </w:pPr>
      <w:r>
        <w:rPr>
          <w:rFonts w:ascii="Calibri" w:hAnsi="Calibri" w:cs="宋体"/>
          <w:b/>
          <w:kern w:val="0"/>
          <w:sz w:val="24"/>
        </w:rPr>
        <w:t>试卷满分及考试时间</w:t>
      </w:r>
    </w:p>
    <w:p w14:paraId="7D76E89C">
      <w:pPr>
        <w:widowControl/>
        <w:wordWrap w:val="0"/>
        <w:spacing w:line="360" w:lineRule="auto"/>
        <w:ind w:firstLine="420"/>
        <w:jc w:val="left"/>
        <w:rPr>
          <w:rFonts w:ascii="Calibri" w:hAnsi="Calibri" w:cs="宋体"/>
          <w:kern w:val="0"/>
          <w:sz w:val="24"/>
        </w:rPr>
      </w:pPr>
      <w:r>
        <w:rPr>
          <w:rFonts w:ascii="Calibri" w:hAnsi="Calibri" w:cs="宋体"/>
          <w:kern w:val="0"/>
          <w:sz w:val="24"/>
        </w:rPr>
        <w:t>本试卷满分为150分，考试时间为180分钟</w:t>
      </w:r>
      <w:bookmarkStart w:id="1" w:name="_GoBack"/>
      <w:bookmarkEnd w:id="1"/>
    </w:p>
    <w:p w14:paraId="32BE2FFD">
      <w:pPr>
        <w:widowControl/>
        <w:wordWrap w:val="0"/>
        <w:spacing w:line="360" w:lineRule="auto"/>
        <w:jc w:val="left"/>
        <w:rPr>
          <w:rFonts w:ascii="Calibri" w:hAnsi="Calibri" w:cs="宋体"/>
          <w:b/>
          <w:kern w:val="0"/>
          <w:sz w:val="24"/>
        </w:rPr>
      </w:pPr>
      <w:r>
        <w:rPr>
          <w:rFonts w:ascii="Calibri" w:hAnsi="Calibri" w:cs="宋体"/>
          <w:b/>
          <w:kern w:val="0"/>
          <w:sz w:val="24"/>
        </w:rPr>
        <w:t>试卷题型结构</w:t>
      </w:r>
    </w:p>
    <w:p w14:paraId="4543D9D2">
      <w:pPr>
        <w:widowControl/>
        <w:wordWrap w:val="0"/>
        <w:spacing w:line="360" w:lineRule="auto"/>
        <w:ind w:firstLine="420"/>
        <w:jc w:val="left"/>
        <w:rPr>
          <w:rFonts w:ascii="Calibri" w:hAnsi="Calibri" w:cs="宋体"/>
          <w:kern w:val="0"/>
          <w:sz w:val="24"/>
        </w:rPr>
      </w:pPr>
      <w:r>
        <w:rPr>
          <w:rFonts w:hint="eastAsia" w:ascii="Calibri" w:hAnsi="Calibri" w:cs="宋体"/>
          <w:kern w:val="0"/>
          <w:sz w:val="24"/>
        </w:rPr>
        <w:t>名词解释、简答题、计算与分析题、论述题等题型。</w:t>
      </w:r>
    </w:p>
    <w:p w14:paraId="09C7A163">
      <w:pPr>
        <w:widowControl/>
        <w:wordWrap w:val="0"/>
        <w:spacing w:line="360" w:lineRule="auto"/>
        <w:jc w:val="left"/>
        <w:rPr>
          <w:rFonts w:ascii="Calibri" w:hAnsi="Calibri" w:cs="宋体"/>
          <w:b/>
          <w:bCs/>
          <w:kern w:val="0"/>
          <w:sz w:val="24"/>
        </w:rPr>
      </w:pPr>
    </w:p>
    <w:p w14:paraId="5192F7BC">
      <w:pPr>
        <w:widowControl/>
        <w:wordWrap w:val="0"/>
        <w:spacing w:line="360" w:lineRule="auto"/>
        <w:jc w:val="left"/>
        <w:rPr>
          <w:rFonts w:ascii="Calibri" w:hAnsi="Calibri" w:cs="宋体"/>
          <w:b/>
          <w:bCs/>
          <w:kern w:val="0"/>
          <w:sz w:val="24"/>
        </w:rPr>
      </w:pPr>
      <w:r>
        <w:rPr>
          <w:rFonts w:hint="eastAsia" w:ascii="Calibri" w:hAnsi="Calibri" w:cs="宋体"/>
          <w:b/>
          <w:bCs/>
          <w:kern w:val="0"/>
          <w:sz w:val="24"/>
        </w:rPr>
        <w:t>二、考试内容</w:t>
      </w:r>
    </w:p>
    <w:p w14:paraId="11FD89AF"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微观经济学考试内容</w:t>
      </w:r>
    </w:p>
    <w:p w14:paraId="4697B20D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（一）供求理论</w:t>
      </w:r>
    </w:p>
    <w:p w14:paraId="44966E6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1．需求、需求函数及需求曲线</w:t>
      </w:r>
    </w:p>
    <w:p w14:paraId="5A15F214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2．供给、供给函数和供给曲线</w:t>
      </w:r>
    </w:p>
    <w:p w14:paraId="16F4DDDB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3．均衡价格的决定和变动</w:t>
      </w:r>
    </w:p>
    <w:p w14:paraId="4AEFE65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4．需求弹性与供给弹性</w:t>
      </w:r>
    </w:p>
    <w:p w14:paraId="7063570A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5．供求理论和弹性理论的运用</w:t>
      </w:r>
    </w:p>
    <w:p w14:paraId="2E0EFB84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（二）效用论</w:t>
      </w:r>
    </w:p>
    <w:p w14:paraId="0FD3CB8D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1．效用论概述</w:t>
      </w:r>
    </w:p>
    <w:p w14:paraId="4B349678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2．无差异曲线 </w:t>
      </w:r>
    </w:p>
    <w:p w14:paraId="3B7D66EA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3．预算线</w:t>
      </w:r>
    </w:p>
    <w:p w14:paraId="54E1F95F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4．消费者的均衡</w:t>
      </w:r>
    </w:p>
    <w:p w14:paraId="7C288D98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5．价格变化和收入变化对消费者均衡的影响</w:t>
      </w:r>
    </w:p>
    <w:p w14:paraId="3ACD097D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6．替代效应和收入效应</w:t>
      </w:r>
    </w:p>
    <w:p w14:paraId="66F1D141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（三）生产论</w:t>
      </w:r>
    </w:p>
    <w:p w14:paraId="65F5AA7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1．生产函数</w:t>
      </w:r>
    </w:p>
    <w:p w14:paraId="1C98863F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2．边际收益递减规律</w:t>
      </w:r>
    </w:p>
    <w:p w14:paraId="2262E68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3．总产量、平均产量、边际产量的关系</w:t>
      </w:r>
    </w:p>
    <w:p w14:paraId="473248AB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4．等成本线</w:t>
      </w:r>
    </w:p>
    <w:p w14:paraId="6F1AA57B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5．规模报酬 </w:t>
      </w:r>
    </w:p>
    <w:p w14:paraId="6C4B45F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（四）成本论</w:t>
      </w:r>
    </w:p>
    <w:p w14:paraId="1EC7C5F6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1．成本的概念</w:t>
      </w:r>
    </w:p>
    <w:p w14:paraId="71022EE1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2．短期总产量和短期总成本</w:t>
      </w:r>
    </w:p>
    <w:p w14:paraId="7BCD56A2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3．短期成本曲线</w:t>
      </w:r>
    </w:p>
    <w:p w14:paraId="0F819072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4．长期成本曲线</w:t>
      </w:r>
    </w:p>
    <w:p w14:paraId="788F282C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5．规模经济与规模不经济</w:t>
      </w:r>
    </w:p>
    <w:p w14:paraId="27051A1F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6．外在经济与外在不经济</w:t>
      </w:r>
    </w:p>
    <w:p w14:paraId="09C7CDBD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（五）市场论</w:t>
      </w:r>
    </w:p>
    <w:p w14:paraId="512C8129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1．不同类型市场的特征</w:t>
      </w:r>
    </w:p>
    <w:p w14:paraId="3363CFE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2．完全竞争市场的条件及厂商的均衡</w:t>
      </w:r>
    </w:p>
    <w:p w14:paraId="172B6168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3．垄断市场特点及均衡</w:t>
      </w:r>
    </w:p>
    <w:p w14:paraId="764484C1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4．垄断竞争市场特点及厂商的均衡</w:t>
      </w:r>
    </w:p>
    <w:p w14:paraId="3DA5E63C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5．寡头市场特点及分析模型</w:t>
      </w:r>
    </w:p>
    <w:p w14:paraId="207E6B08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6．不同市场的经济效率的比较</w:t>
      </w:r>
    </w:p>
    <w:p w14:paraId="2CDCE694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（六）生产要素价格决定</w:t>
      </w:r>
    </w:p>
    <w:p w14:paraId="318678FC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1．引致需求</w:t>
      </w:r>
    </w:p>
    <w:p w14:paraId="0EDC1E63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2．完全竞争厂商使用生产要素的原则</w:t>
      </w:r>
    </w:p>
    <w:p w14:paraId="2D867057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3．生产要素的供给曲线 </w:t>
      </w:r>
    </w:p>
    <w:p w14:paraId="1990922C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4．生产要素的价格决定</w:t>
      </w:r>
    </w:p>
    <w:p w14:paraId="5A447048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5．洛伦兹曲线和基尼系数</w:t>
      </w:r>
    </w:p>
    <w:p w14:paraId="0E94733E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（七）一般均衡与福利经济理论</w:t>
      </w:r>
    </w:p>
    <w:p w14:paraId="7015D961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1．一般均衡理论</w:t>
      </w:r>
    </w:p>
    <w:p w14:paraId="11413F8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2．生产和交换的最优条件</w:t>
      </w:r>
    </w:p>
    <w:p w14:paraId="0F2DBC4A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3．帕累托最优状态</w:t>
      </w:r>
    </w:p>
    <w:p w14:paraId="689D0B7E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（八）市场失灵和微观经济学政策</w:t>
      </w:r>
    </w:p>
    <w:p w14:paraId="6BCECBD8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1．市场失灵及主要表现</w:t>
      </w:r>
    </w:p>
    <w:p w14:paraId="776F0CF6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2．克服外在性的对策、收入均等化政策</w:t>
      </w:r>
    </w:p>
    <w:p w14:paraId="7B0A11B6">
      <w:pPr>
        <w:ind w:left="420" w:left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（九）博弈论初步</w:t>
      </w:r>
    </w:p>
    <w:p w14:paraId="4C566F33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bookmarkStart w:id="0" w:name="OLE_LINK1"/>
      <w:r>
        <w:rPr>
          <w:rFonts w:hint="eastAsia" w:ascii="宋体" w:hAnsi="宋体"/>
          <w:sz w:val="24"/>
        </w:rPr>
        <w:t>完全信息静态博弈</w:t>
      </w:r>
      <w:bookmarkEnd w:id="0"/>
    </w:p>
    <w:p w14:paraId="2AF4C993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2．完全信息动态博弈</w:t>
      </w:r>
    </w:p>
    <w:p w14:paraId="7A511DFE">
      <w:pPr>
        <w:rPr>
          <w:rFonts w:hint="eastAsia" w:ascii="宋体" w:hAnsi="宋体"/>
          <w:sz w:val="24"/>
        </w:rPr>
      </w:pPr>
    </w:p>
    <w:p w14:paraId="14F89761"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宏观经济学考试内容 </w:t>
      </w:r>
    </w:p>
    <w:p w14:paraId="1FD432B1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（一）国民收入核算理论</w:t>
      </w:r>
    </w:p>
    <w:p w14:paraId="2AA96A99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1．国内生产总值和国民生产总值的含义和相互关系</w:t>
      </w:r>
    </w:p>
    <w:p w14:paraId="406B2F32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2．国民收入的核算方法</w:t>
      </w:r>
    </w:p>
    <w:p w14:paraId="6AFE732B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3．国民收入构成的基本公式 </w:t>
      </w:r>
    </w:p>
    <w:p w14:paraId="3E9528F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（二）国民收入决定理论</w:t>
      </w:r>
    </w:p>
    <w:p w14:paraId="7B5063D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1．均衡产出</w:t>
      </w:r>
    </w:p>
    <w:p w14:paraId="56122097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2．凯恩斯的消费理论</w:t>
      </w:r>
    </w:p>
    <w:p w14:paraId="10792EC7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3．乘数理论</w:t>
      </w:r>
    </w:p>
    <w:p w14:paraId="14044DAE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4．二、三、四部门经济中国民收入的决定理论 </w:t>
      </w:r>
    </w:p>
    <w:p w14:paraId="0424C75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（三）宏观一般均衡理论</w:t>
      </w:r>
    </w:p>
    <w:p w14:paraId="11FFC76C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1．投资的决定、利率的决定、</w:t>
      </w:r>
    </w:p>
    <w:p w14:paraId="1C922EE9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2．IS-LM-BP模型</w:t>
      </w:r>
    </w:p>
    <w:p w14:paraId="2F1E6EB9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（四）封闭和开放条件下宏观经济政策</w:t>
      </w:r>
    </w:p>
    <w:p w14:paraId="3D8A6D06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1．宏观经济政策目标</w:t>
      </w:r>
    </w:p>
    <w:p w14:paraId="02855367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2．财政政策和货币政策的工具及影响</w:t>
      </w:r>
    </w:p>
    <w:p w14:paraId="4FDD503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3．财政政策和货币政策的运用效果</w:t>
      </w:r>
    </w:p>
    <w:p w14:paraId="785A1D0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4．两种政策混合使用</w:t>
      </w:r>
    </w:p>
    <w:p w14:paraId="3417787F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（五）经济增长理论和经济周期理论</w:t>
      </w:r>
    </w:p>
    <w:p w14:paraId="03765E68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1．新古典增长理论及模型</w:t>
      </w:r>
    </w:p>
    <w:p w14:paraId="6F106D1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2．内生增长理论及模型</w:t>
      </w:r>
    </w:p>
    <w:p w14:paraId="6435AC66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3．乘数－加速数模型</w:t>
      </w:r>
    </w:p>
    <w:p w14:paraId="7A23A2F0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4．经济周期的含义与特征</w:t>
      </w:r>
    </w:p>
    <w:p w14:paraId="442EC1E1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（六）通货膨胀理论 </w:t>
      </w:r>
    </w:p>
    <w:p w14:paraId="50D0B5C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1．通货膨胀及其成因</w:t>
      </w:r>
    </w:p>
    <w:p w14:paraId="71DA2905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2．通货膨胀的经济效应</w:t>
      </w:r>
    </w:p>
    <w:p w14:paraId="59649894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3．菲利浦斯曲线的含义</w:t>
      </w:r>
    </w:p>
    <w:p w14:paraId="033E5809">
      <w:pPr>
        <w:ind w:left="420" w:left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4．不同学派对菲利浦斯曲线的不同解释及政策含义</w:t>
      </w:r>
    </w:p>
    <w:p w14:paraId="4324DDCD"/>
    <w:p w14:paraId="457C692C"/>
    <w:p w14:paraId="5BCDC311"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三、参考书目</w:t>
      </w:r>
      <w:r>
        <w:rPr>
          <w:rFonts w:ascii="宋体" w:hAnsi="宋体"/>
          <w:b/>
          <w:bCs/>
          <w:sz w:val="24"/>
        </w:rPr>
        <w:tab/>
      </w:r>
    </w:p>
    <w:p w14:paraId="7FC13D3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微观经济学</w:t>
      </w:r>
      <w:r>
        <w:rPr>
          <w:rFonts w:hint="eastAsia" w:ascii="宋体" w:hAnsi="宋体"/>
          <w:sz w:val="24"/>
        </w:rPr>
        <w:t>：</w:t>
      </w:r>
    </w:p>
    <w:p w14:paraId="335733BD">
      <w:pPr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高鸿业主编，《西方经济学》微观部分，中国人民大学出版社第8版，2024年2月第8版</w:t>
      </w:r>
    </w:p>
    <w:p w14:paraId="3368A6C3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宏观经济学</w:t>
      </w:r>
      <w:r>
        <w:rPr>
          <w:rFonts w:hint="eastAsia" w:ascii="宋体" w:hAnsi="宋体"/>
          <w:sz w:val="24"/>
        </w:rPr>
        <w:t>：</w:t>
      </w:r>
    </w:p>
    <w:p w14:paraId="50D25D28">
      <w:pPr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高鸿业主编，《西方经济学》，中国人民大学出版社第8版，2024年2月第8版</w:t>
      </w:r>
    </w:p>
    <w:p w14:paraId="12B1B447">
      <w:r>
        <w:rPr>
          <w:rFonts w:hint="eastAsia" w:ascii="宋体" w:hAnsi="宋体"/>
          <w:b/>
          <w:sz w:val="24"/>
        </w:rPr>
        <w:t>运筹学：</w:t>
      </w:r>
    </w:p>
    <w:p w14:paraId="5346CD09">
      <w:pPr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韩伯棠主编，《管理运筹学（第五版）》（第十五章 对策论），高等教育出版社，2020年3月第5版</w:t>
      </w:r>
    </w:p>
    <w:p w14:paraId="147E9C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C86"/>
    <w:rsid w:val="000B2113"/>
    <w:rsid w:val="001028E2"/>
    <w:rsid w:val="00344504"/>
    <w:rsid w:val="0058284D"/>
    <w:rsid w:val="00613798"/>
    <w:rsid w:val="0068617B"/>
    <w:rsid w:val="00760B48"/>
    <w:rsid w:val="0077518C"/>
    <w:rsid w:val="007C6EC6"/>
    <w:rsid w:val="00814540"/>
    <w:rsid w:val="008A7539"/>
    <w:rsid w:val="00965FC7"/>
    <w:rsid w:val="009F333C"/>
    <w:rsid w:val="00C67407"/>
    <w:rsid w:val="00CE73E7"/>
    <w:rsid w:val="00D62E49"/>
    <w:rsid w:val="00D80159"/>
    <w:rsid w:val="00DF6C86"/>
    <w:rsid w:val="00E90142"/>
    <w:rsid w:val="00F56FE2"/>
    <w:rsid w:val="00FB3803"/>
    <w:rsid w:val="3FE6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2"/>
    <w:basedOn w:val="1"/>
    <w:next w:val="1"/>
    <w:link w:val="8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标题 2 字符"/>
    <w:basedOn w:val="6"/>
    <w:link w:val="2"/>
    <w:qFormat/>
    <w:uiPriority w:val="9"/>
    <w:rPr>
      <w:rFonts w:ascii="Cambria" w:hAnsi="Cambria" w:eastAsia="宋体" w:cs="Times New Roman"/>
      <w:b/>
      <w:bCs/>
      <w:sz w:val="32"/>
      <w:szCs w:val="32"/>
      <w14:ligatures w14:val="none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1107</Words>
  <Characters>1129</Characters>
  <Lines>56</Lines>
  <Paragraphs>95</Paragraphs>
  <TotalTime>17</TotalTime>
  <ScaleCrop>false</ScaleCrop>
  <LinksUpToDate>false</LinksUpToDate>
  <CharactersWithSpaces>1140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2025-09-04T00:06:00Z</dcterms:created>
  <dc:creator>xian zhao</dc:creator>
  <cp:lastModifiedBy>孙乐平</cp:lastModifiedBy>
  <cp:lastPrinted>2024-09-25T08:38:00Z</cp:lastPrinted>
  <dcterms:modified xsi:type="dcterms:W3CDTF">2025-09-28T02:02:51Z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eyJoZGlkIjoiZDQ3MjVmZWVjMzY0NmZiODAyMmMzZjQ4ZjAzMmIzYjYiLCJ1c2VySWQiOiIxMTI1NDM3NzM5In0=</vt:lpwstr>
  </property>
  <property fmtid="{D5CDD505-2E9C-101B-9397-08002B2CF9AE}" pid="3" name="KSOProductBuildVer">
    <vt:lpwstr>2052-12.1.0.22529</vt:lpwstr>
  </property>
  <property fmtid="{D5CDD505-2E9C-101B-9397-08002B2CF9AE}" pid="4" name="ICV">
    <vt:lpwstr>7014940B033B488CBE857E90B72333D3_12</vt:lpwstr>
  </property>
</Properties>
</file>