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A93" w:rsidRPr="00A15A93" w:rsidRDefault="00A15A93" w:rsidP="00A15A93">
      <w:pPr>
        <w:widowControl/>
        <w:spacing w:before="156" w:after="156" w:line="440" w:lineRule="atLeast"/>
        <w:jc w:val="center"/>
        <w:rPr>
          <w:rFonts w:ascii="宋体" w:eastAsia="宋体" w:hAnsi="宋体"/>
          <w:b/>
          <w:sz w:val="32"/>
        </w:rPr>
      </w:pPr>
      <w:r w:rsidRPr="00A15A93">
        <w:rPr>
          <w:rFonts w:ascii="宋体" w:eastAsia="宋体" w:hAnsi="宋体"/>
          <w:b/>
          <w:sz w:val="32"/>
        </w:rPr>
        <w:t>2018年"世界机器人大赛─共融机器人挑战赛"</w:t>
      </w:r>
    </w:p>
    <w:p w:rsidR="00C33004" w:rsidRPr="00A15A93" w:rsidRDefault="00C33004" w:rsidP="00A15A93">
      <w:pPr>
        <w:widowControl/>
        <w:spacing w:before="156" w:after="156" w:line="440" w:lineRule="atLeast"/>
        <w:jc w:val="center"/>
        <w:rPr>
          <w:rFonts w:ascii="宋体" w:eastAsia="宋体" w:hAnsi="宋体" w:hint="eastAsia"/>
          <w:b/>
          <w:sz w:val="32"/>
        </w:rPr>
      </w:pPr>
      <w:bookmarkStart w:id="0" w:name="_GoBack"/>
      <w:r w:rsidRPr="00A15A93">
        <w:rPr>
          <w:rFonts w:ascii="宋体" w:eastAsia="宋体" w:hAnsi="宋体" w:hint="eastAsia"/>
          <w:b/>
          <w:sz w:val="32"/>
        </w:rPr>
        <w:t>竞赛分组</w:t>
      </w:r>
      <w:r w:rsidR="00A15A93" w:rsidRPr="00A15A93">
        <w:rPr>
          <w:rFonts w:ascii="宋体" w:eastAsia="宋体" w:hAnsi="宋体" w:hint="eastAsia"/>
          <w:b/>
          <w:sz w:val="32"/>
        </w:rPr>
        <w:t>及</w:t>
      </w:r>
      <w:r w:rsidR="00A15A93" w:rsidRPr="00A15A93">
        <w:rPr>
          <w:rFonts w:ascii="宋体" w:eastAsia="宋体" w:hAnsi="宋体"/>
          <w:b/>
          <w:sz w:val="32"/>
        </w:rPr>
        <w:t>详细说明</w:t>
      </w:r>
    </w:p>
    <w:p w:rsidR="00C33004" w:rsidRPr="00A15A93" w:rsidRDefault="00C33004" w:rsidP="00A15A93">
      <w:pPr>
        <w:widowControl/>
        <w:spacing w:line="440" w:lineRule="atLeast"/>
        <w:ind w:firstLine="480"/>
        <w:jc w:val="center"/>
        <w:rPr>
          <w:rFonts w:ascii="宋体" w:eastAsia="宋体" w:hAnsi="宋体" w:cs="宋体"/>
          <w:color w:val="000000"/>
          <w:kern w:val="0"/>
          <w:sz w:val="24"/>
          <w:szCs w:val="24"/>
        </w:rPr>
      </w:pPr>
      <w:bookmarkStart w:id="1" w:name="_Hlk502176773"/>
      <w:bookmarkEnd w:id="1"/>
      <w:bookmarkEnd w:id="0"/>
      <w:r w:rsidRPr="00A15A93">
        <w:rPr>
          <w:rFonts w:ascii="宋体" w:eastAsia="宋体" w:hAnsi="宋体" w:cs="宋体" w:hint="eastAsia"/>
          <w:color w:val="000000"/>
          <w:kern w:val="0"/>
          <w:sz w:val="24"/>
          <w:szCs w:val="24"/>
        </w:rPr>
        <w:t>1）共融机器人仿真组</w:t>
      </w:r>
    </w:p>
    <w:p w:rsidR="00C33004" w:rsidRPr="00A15A93" w:rsidRDefault="00C33004" w:rsidP="00A15A93">
      <w:pPr>
        <w:widowControl/>
        <w:spacing w:line="440" w:lineRule="atLeast"/>
        <w:ind w:firstLine="480"/>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2）足式移动机器人组</w:t>
      </w:r>
    </w:p>
    <w:p w:rsidR="00C33004" w:rsidRPr="00A15A93" w:rsidRDefault="00C33004" w:rsidP="00A15A93">
      <w:pPr>
        <w:widowControl/>
        <w:spacing w:line="440" w:lineRule="atLeast"/>
        <w:ind w:firstLine="480"/>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3）双臂协作机器人组</w:t>
      </w:r>
    </w:p>
    <w:p w:rsidR="00C33004" w:rsidRPr="00A15A93" w:rsidRDefault="00C33004" w:rsidP="00A15A93">
      <w:pPr>
        <w:widowControl/>
        <w:spacing w:line="440" w:lineRule="atLeast"/>
        <w:ind w:firstLine="480"/>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4）机器人创新路演组</w:t>
      </w:r>
    </w:p>
    <w:p w:rsidR="00C33004" w:rsidRPr="00A15A93" w:rsidRDefault="00C33004" w:rsidP="00A15A93">
      <w:pPr>
        <w:widowControl/>
        <w:spacing w:line="440" w:lineRule="atLeast"/>
        <w:ind w:firstLine="480"/>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5）机器人青</w:t>
      </w:r>
      <w:r w:rsidRPr="00A15A93">
        <w:rPr>
          <w:rFonts w:ascii="宋体" w:eastAsia="宋体" w:hAnsi="宋体" w:cs="宋体" w:hint="eastAsia"/>
          <w:color w:val="000000"/>
          <w:kern w:val="0"/>
          <w:sz w:val="24"/>
          <w:szCs w:val="24"/>
          <w:shd w:val="clear" w:color="auto" w:fill="FFFFFF"/>
        </w:rPr>
        <w:t>年创意组</w:t>
      </w:r>
    </w:p>
    <w:p w:rsidR="00C33004" w:rsidRPr="00A15A93" w:rsidRDefault="00C33004" w:rsidP="00C33004">
      <w:pPr>
        <w:widowControl/>
        <w:spacing w:before="156" w:after="156" w:line="440" w:lineRule="atLeast"/>
        <w:ind w:left="720" w:hanging="720"/>
        <w:jc w:val="left"/>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shd w:val="clear" w:color="auto" w:fill="D9D9D9"/>
        </w:rPr>
        <w:t>（一）、共融机器人仿真组</w:t>
      </w:r>
    </w:p>
    <w:p w:rsidR="00C33004" w:rsidRPr="00A15A93" w:rsidRDefault="00C33004" w:rsidP="00C33004">
      <w:pPr>
        <w:widowControl/>
        <w:spacing w:before="156" w:after="156" w:line="440" w:lineRule="atLeast"/>
        <w:jc w:val="left"/>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1. 比赛目的和要求</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本组别比赛重点考察参赛队伍在共融机器人的顺应行走和自主作业技术上的水平。为此，要求参赛队伍在指定的废墟仿真环境中，采用统一的仿真平台，按照任务流程要求完成仿真比赛项目，根据得分高低来评定比赛成绩。仿真环境将于比赛前1个月发布。</w:t>
      </w:r>
    </w:p>
    <w:p w:rsidR="00C33004" w:rsidRPr="00A15A93" w:rsidRDefault="00C33004" w:rsidP="00C33004">
      <w:pPr>
        <w:widowControl/>
        <w:spacing w:before="156" w:after="156" w:line="440" w:lineRule="atLeast"/>
        <w:jc w:val="left"/>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2. 比赛项目</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任务场景为虚拟的室内救灾环境，在仿真中将提供一个标准机器人平台，按照任务流程，完成既定的移动、避障、抓取和搬运等作业任务，根据得分高低来评定比赛成绩。比赛项目如表1所示：</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1）机器人从指定的起始点进入救灾模拟环境；</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2）环境中设置若干目标物体，机器人按照要求将目标物体搬运到指定位置；</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3）环境中设置若干障碍物，机器人通过感知模块自主避开障碍物；</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4）环境中设置若干目标物体，机器人通过柔顺抓取实现目标物体搬运；</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5）机器人安全返回指定区域。</w:t>
      </w:r>
    </w:p>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表1 共融机器人仿真组比赛</w:t>
      </w:r>
    </w:p>
    <w:tbl>
      <w:tblPr>
        <w:tblW w:w="3098" w:type="pct"/>
        <w:jc w:val="center"/>
        <w:tblCellMar>
          <w:left w:w="0" w:type="dxa"/>
          <w:right w:w="0" w:type="dxa"/>
        </w:tblCellMar>
        <w:tblLook w:val="04A0" w:firstRow="1" w:lastRow="0" w:firstColumn="1" w:lastColumn="0" w:noHBand="0" w:noVBand="1"/>
      </w:tblPr>
      <w:tblGrid>
        <w:gridCol w:w="2786"/>
        <w:gridCol w:w="2348"/>
      </w:tblGrid>
      <w:tr w:rsidR="00C33004" w:rsidRPr="00A15A93" w:rsidTr="00C33004">
        <w:trPr>
          <w:trHeight w:val="143"/>
          <w:jc w:val="center"/>
        </w:trPr>
        <w:tc>
          <w:tcPr>
            <w:tcW w:w="271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比赛类型</w:t>
            </w:r>
          </w:p>
        </w:tc>
        <w:tc>
          <w:tcPr>
            <w:tcW w:w="2287"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比赛项目</w:t>
            </w:r>
          </w:p>
        </w:tc>
      </w:tr>
      <w:tr w:rsidR="00C33004" w:rsidRPr="00A15A93" w:rsidTr="00C33004">
        <w:trPr>
          <w:trHeight w:val="143"/>
          <w:jc w:val="center"/>
        </w:trPr>
        <w:tc>
          <w:tcPr>
            <w:tcW w:w="2713"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共融机器人仿真组比赛</w:t>
            </w:r>
          </w:p>
        </w:tc>
        <w:tc>
          <w:tcPr>
            <w:tcW w:w="2287" w:type="pct"/>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进入救援场地</w:t>
            </w:r>
          </w:p>
        </w:tc>
      </w:tr>
      <w:tr w:rsidR="00C33004" w:rsidRPr="00A15A93" w:rsidTr="00C33004">
        <w:trPr>
          <w:trHeight w:val="142"/>
          <w:jc w:val="center"/>
        </w:trPr>
        <w:tc>
          <w:tcPr>
            <w:tcW w:w="2713" w:type="pct"/>
            <w:vMerge/>
            <w:tcBorders>
              <w:top w:val="nil"/>
              <w:left w:val="single" w:sz="8" w:space="0" w:color="000000"/>
              <w:bottom w:val="single" w:sz="8" w:space="0" w:color="000000"/>
              <w:right w:val="single" w:sz="8" w:space="0" w:color="000000"/>
            </w:tcBorders>
            <w:vAlign w:val="center"/>
            <w:hideMark/>
          </w:tcPr>
          <w:p w:rsidR="00C33004" w:rsidRPr="00A15A93" w:rsidRDefault="00C33004" w:rsidP="00C33004">
            <w:pPr>
              <w:widowControl/>
              <w:jc w:val="left"/>
              <w:rPr>
                <w:rFonts w:ascii="宋体" w:eastAsia="宋体" w:hAnsi="宋体" w:cs="宋体"/>
                <w:color w:val="000000"/>
                <w:kern w:val="0"/>
                <w:sz w:val="24"/>
                <w:szCs w:val="24"/>
              </w:rPr>
            </w:pPr>
          </w:p>
        </w:tc>
        <w:tc>
          <w:tcPr>
            <w:tcW w:w="2287" w:type="pct"/>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搬运目标物体</w:t>
            </w:r>
          </w:p>
        </w:tc>
      </w:tr>
      <w:tr w:rsidR="00C33004" w:rsidRPr="00A15A93" w:rsidTr="00C33004">
        <w:trPr>
          <w:trHeight w:val="143"/>
          <w:jc w:val="center"/>
        </w:trPr>
        <w:tc>
          <w:tcPr>
            <w:tcW w:w="2713" w:type="pct"/>
            <w:vMerge/>
            <w:tcBorders>
              <w:top w:val="nil"/>
              <w:left w:val="single" w:sz="8" w:space="0" w:color="000000"/>
              <w:bottom w:val="single" w:sz="8" w:space="0" w:color="000000"/>
              <w:right w:val="single" w:sz="8" w:space="0" w:color="000000"/>
            </w:tcBorders>
            <w:vAlign w:val="center"/>
            <w:hideMark/>
          </w:tcPr>
          <w:p w:rsidR="00C33004" w:rsidRPr="00A15A93" w:rsidRDefault="00C33004" w:rsidP="00C33004">
            <w:pPr>
              <w:widowControl/>
              <w:jc w:val="left"/>
              <w:rPr>
                <w:rFonts w:ascii="宋体" w:eastAsia="宋体" w:hAnsi="宋体" w:cs="宋体"/>
                <w:color w:val="000000"/>
                <w:kern w:val="0"/>
                <w:sz w:val="24"/>
                <w:szCs w:val="24"/>
              </w:rPr>
            </w:pPr>
          </w:p>
        </w:tc>
        <w:tc>
          <w:tcPr>
            <w:tcW w:w="2287" w:type="pct"/>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障碍识别与绕行</w:t>
            </w:r>
          </w:p>
        </w:tc>
      </w:tr>
      <w:tr w:rsidR="00C33004" w:rsidRPr="00A15A93" w:rsidTr="00C33004">
        <w:trPr>
          <w:trHeight w:val="143"/>
          <w:jc w:val="center"/>
        </w:trPr>
        <w:tc>
          <w:tcPr>
            <w:tcW w:w="2713" w:type="pct"/>
            <w:vMerge/>
            <w:tcBorders>
              <w:top w:val="nil"/>
              <w:left w:val="single" w:sz="8" w:space="0" w:color="000000"/>
              <w:bottom w:val="single" w:sz="8" w:space="0" w:color="000000"/>
              <w:right w:val="single" w:sz="8" w:space="0" w:color="000000"/>
            </w:tcBorders>
            <w:vAlign w:val="center"/>
            <w:hideMark/>
          </w:tcPr>
          <w:p w:rsidR="00C33004" w:rsidRPr="00A15A93" w:rsidRDefault="00C33004" w:rsidP="00C33004">
            <w:pPr>
              <w:widowControl/>
              <w:jc w:val="left"/>
              <w:rPr>
                <w:rFonts w:ascii="宋体" w:eastAsia="宋体" w:hAnsi="宋体" w:cs="宋体"/>
                <w:color w:val="000000"/>
                <w:kern w:val="0"/>
                <w:sz w:val="24"/>
                <w:szCs w:val="24"/>
              </w:rPr>
            </w:pPr>
          </w:p>
        </w:tc>
        <w:tc>
          <w:tcPr>
            <w:tcW w:w="2287" w:type="pct"/>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柔顺抓取与搬运</w:t>
            </w:r>
          </w:p>
        </w:tc>
      </w:tr>
      <w:tr w:rsidR="00C33004" w:rsidRPr="00A15A93" w:rsidTr="00C33004">
        <w:trPr>
          <w:trHeight w:val="143"/>
          <w:jc w:val="center"/>
        </w:trPr>
        <w:tc>
          <w:tcPr>
            <w:tcW w:w="2713" w:type="pct"/>
            <w:vMerge/>
            <w:tcBorders>
              <w:top w:val="nil"/>
              <w:left w:val="single" w:sz="8" w:space="0" w:color="000000"/>
              <w:bottom w:val="single" w:sz="8" w:space="0" w:color="000000"/>
              <w:right w:val="single" w:sz="8" w:space="0" w:color="000000"/>
            </w:tcBorders>
            <w:vAlign w:val="center"/>
            <w:hideMark/>
          </w:tcPr>
          <w:p w:rsidR="00C33004" w:rsidRPr="00A15A93" w:rsidRDefault="00C33004" w:rsidP="00C33004">
            <w:pPr>
              <w:widowControl/>
              <w:jc w:val="left"/>
              <w:rPr>
                <w:rFonts w:ascii="宋体" w:eastAsia="宋体" w:hAnsi="宋体" w:cs="宋体"/>
                <w:color w:val="000000"/>
                <w:kern w:val="0"/>
                <w:sz w:val="24"/>
                <w:szCs w:val="24"/>
              </w:rPr>
            </w:pPr>
          </w:p>
        </w:tc>
        <w:tc>
          <w:tcPr>
            <w:tcW w:w="2287" w:type="pct"/>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返回安全区域</w:t>
            </w:r>
          </w:p>
        </w:tc>
      </w:tr>
    </w:tbl>
    <w:p w:rsidR="00C33004" w:rsidRPr="00A15A93" w:rsidRDefault="00C33004" w:rsidP="00C33004">
      <w:pPr>
        <w:widowControl/>
        <w:spacing w:before="156" w:after="156" w:line="440" w:lineRule="atLeast"/>
        <w:jc w:val="left"/>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shd w:val="clear" w:color="auto" w:fill="D9D9D9"/>
        </w:rPr>
        <w:t>（二）、足式移动机器人组</w:t>
      </w:r>
    </w:p>
    <w:p w:rsidR="00C33004" w:rsidRPr="00A15A93" w:rsidRDefault="00C33004" w:rsidP="00C33004">
      <w:pPr>
        <w:widowControl/>
        <w:spacing w:line="390" w:lineRule="atLeast"/>
        <w:jc w:val="left"/>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1. 比赛目的和要求</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本组别比赛重点考察足式移动机器人的顺应性，特别是在复杂环境中行走时的柔顺控制能力和应激反应能力。参赛机器人需要满足以下要求：</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1）移动方式需采用足式行走方式，具有与环境共融的顺应性控制算法；</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2）控制方式采用人机交互的控制模式，不能采用机器人无自主运动规划的遥控模式；</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3）动力系统优先采用电机为主动力源，可采用有电缆或无电缆方式，但移动过程中不可人为拖动电缆。</w:t>
      </w:r>
    </w:p>
    <w:p w:rsidR="00C33004" w:rsidRPr="00A15A93" w:rsidRDefault="00C33004" w:rsidP="00C33004">
      <w:pPr>
        <w:widowControl/>
        <w:spacing w:line="390" w:lineRule="atLeast"/>
        <w:jc w:val="left"/>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2. 比赛项目</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比赛在一个指定的废墟场地开展，机器人按照比赛任务流程完成要求的比赛项目，根据得分高低来评定比赛成绩。比赛项目如表2所示：</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1）机器人从指定的起始地点进入废墟场地；</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2）场地设置多个起伏坡面及凹凸障碍，包括上下坡、垂直台阶、凹坑等；</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3）场地设置多个随机障碍物，如树木、半倒塌房屋、散落砌块等；</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4）场地设置若干救援地点，如断墙边缘区域、低矮门洞等；</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5）机器人返回到指定安全区域。</w:t>
      </w:r>
    </w:p>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表2 足式移动机器人比赛</w:t>
      </w:r>
    </w:p>
    <w:tbl>
      <w:tblPr>
        <w:tblW w:w="2400" w:type="pct"/>
        <w:jc w:val="center"/>
        <w:tblCellMar>
          <w:left w:w="0" w:type="dxa"/>
          <w:right w:w="0" w:type="dxa"/>
        </w:tblCellMar>
        <w:tblLook w:val="04A0" w:firstRow="1" w:lastRow="0" w:firstColumn="1" w:lastColumn="0" w:noHBand="0" w:noVBand="1"/>
      </w:tblPr>
      <w:tblGrid>
        <w:gridCol w:w="2049"/>
        <w:gridCol w:w="1928"/>
      </w:tblGrid>
      <w:tr w:rsidR="00C33004" w:rsidRPr="00A15A93" w:rsidTr="00C33004">
        <w:trPr>
          <w:trHeight w:val="143"/>
          <w:jc w:val="center"/>
        </w:trPr>
        <w:tc>
          <w:tcPr>
            <w:tcW w:w="25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比赛类型</w:t>
            </w:r>
          </w:p>
        </w:tc>
        <w:tc>
          <w:tcPr>
            <w:tcW w:w="24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比赛项目</w:t>
            </w:r>
          </w:p>
        </w:tc>
      </w:tr>
      <w:tr w:rsidR="00C33004" w:rsidRPr="00A15A93" w:rsidTr="00C33004">
        <w:trPr>
          <w:trHeight w:val="143"/>
          <w:jc w:val="center"/>
        </w:trPr>
        <w:tc>
          <w:tcPr>
            <w:tcW w:w="2550"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足式移动机器人比赛</w:t>
            </w:r>
          </w:p>
        </w:tc>
        <w:tc>
          <w:tcPr>
            <w:tcW w:w="2400" w:type="pct"/>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进入废墟场地</w:t>
            </w:r>
          </w:p>
        </w:tc>
      </w:tr>
      <w:tr w:rsidR="00C33004" w:rsidRPr="00A15A93" w:rsidTr="00C33004">
        <w:trPr>
          <w:trHeight w:val="142"/>
          <w:jc w:val="center"/>
        </w:trPr>
        <w:tc>
          <w:tcPr>
            <w:tcW w:w="0" w:type="auto"/>
            <w:vMerge/>
            <w:tcBorders>
              <w:top w:val="nil"/>
              <w:left w:val="single" w:sz="8" w:space="0" w:color="000000"/>
              <w:bottom w:val="single" w:sz="8" w:space="0" w:color="000000"/>
              <w:right w:val="single" w:sz="8" w:space="0" w:color="000000"/>
            </w:tcBorders>
            <w:vAlign w:val="center"/>
            <w:hideMark/>
          </w:tcPr>
          <w:p w:rsidR="00C33004" w:rsidRPr="00A15A93" w:rsidRDefault="00C33004" w:rsidP="00C33004">
            <w:pPr>
              <w:widowControl/>
              <w:jc w:val="left"/>
              <w:rPr>
                <w:rFonts w:ascii="宋体" w:eastAsia="宋体" w:hAnsi="宋体" w:cs="宋体"/>
                <w:color w:val="000000"/>
                <w:kern w:val="0"/>
                <w:sz w:val="24"/>
                <w:szCs w:val="24"/>
              </w:rPr>
            </w:pPr>
          </w:p>
        </w:tc>
        <w:tc>
          <w:tcPr>
            <w:tcW w:w="2400" w:type="pct"/>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坡度起伏</w:t>
            </w:r>
          </w:p>
        </w:tc>
      </w:tr>
      <w:tr w:rsidR="00C33004" w:rsidRPr="00A15A93" w:rsidTr="00C33004">
        <w:trPr>
          <w:trHeight w:val="143"/>
          <w:jc w:val="center"/>
        </w:trPr>
        <w:tc>
          <w:tcPr>
            <w:tcW w:w="0" w:type="auto"/>
            <w:vMerge/>
            <w:tcBorders>
              <w:top w:val="nil"/>
              <w:left w:val="single" w:sz="8" w:space="0" w:color="000000"/>
              <w:bottom w:val="single" w:sz="8" w:space="0" w:color="000000"/>
              <w:right w:val="single" w:sz="8" w:space="0" w:color="000000"/>
            </w:tcBorders>
            <w:vAlign w:val="center"/>
            <w:hideMark/>
          </w:tcPr>
          <w:p w:rsidR="00C33004" w:rsidRPr="00A15A93" w:rsidRDefault="00C33004" w:rsidP="00C33004">
            <w:pPr>
              <w:widowControl/>
              <w:jc w:val="left"/>
              <w:rPr>
                <w:rFonts w:ascii="宋体" w:eastAsia="宋体" w:hAnsi="宋体" w:cs="宋体"/>
                <w:color w:val="000000"/>
                <w:kern w:val="0"/>
                <w:sz w:val="24"/>
                <w:szCs w:val="24"/>
              </w:rPr>
            </w:pPr>
          </w:p>
        </w:tc>
        <w:tc>
          <w:tcPr>
            <w:tcW w:w="2400" w:type="pct"/>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凹凸障碍</w:t>
            </w:r>
          </w:p>
        </w:tc>
      </w:tr>
      <w:tr w:rsidR="00C33004" w:rsidRPr="00A15A93" w:rsidTr="00C33004">
        <w:trPr>
          <w:trHeight w:val="143"/>
          <w:jc w:val="center"/>
        </w:trPr>
        <w:tc>
          <w:tcPr>
            <w:tcW w:w="0" w:type="auto"/>
            <w:vMerge/>
            <w:tcBorders>
              <w:top w:val="nil"/>
              <w:left w:val="single" w:sz="8" w:space="0" w:color="000000"/>
              <w:bottom w:val="single" w:sz="8" w:space="0" w:color="000000"/>
              <w:right w:val="single" w:sz="8" w:space="0" w:color="000000"/>
            </w:tcBorders>
            <w:vAlign w:val="center"/>
            <w:hideMark/>
          </w:tcPr>
          <w:p w:rsidR="00C33004" w:rsidRPr="00A15A93" w:rsidRDefault="00C33004" w:rsidP="00C33004">
            <w:pPr>
              <w:widowControl/>
              <w:jc w:val="left"/>
              <w:rPr>
                <w:rFonts w:ascii="宋体" w:eastAsia="宋体" w:hAnsi="宋体" w:cs="宋体"/>
                <w:color w:val="000000"/>
                <w:kern w:val="0"/>
                <w:sz w:val="24"/>
                <w:szCs w:val="24"/>
              </w:rPr>
            </w:pPr>
          </w:p>
        </w:tc>
        <w:tc>
          <w:tcPr>
            <w:tcW w:w="2400" w:type="pct"/>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随机障碍物</w:t>
            </w:r>
          </w:p>
        </w:tc>
      </w:tr>
      <w:tr w:rsidR="00C33004" w:rsidRPr="00A15A93" w:rsidTr="00C33004">
        <w:trPr>
          <w:trHeight w:val="143"/>
          <w:jc w:val="center"/>
        </w:trPr>
        <w:tc>
          <w:tcPr>
            <w:tcW w:w="0" w:type="auto"/>
            <w:vMerge/>
            <w:tcBorders>
              <w:top w:val="nil"/>
              <w:left w:val="single" w:sz="8" w:space="0" w:color="000000"/>
              <w:bottom w:val="single" w:sz="8" w:space="0" w:color="000000"/>
              <w:right w:val="single" w:sz="8" w:space="0" w:color="000000"/>
            </w:tcBorders>
            <w:vAlign w:val="center"/>
            <w:hideMark/>
          </w:tcPr>
          <w:p w:rsidR="00C33004" w:rsidRPr="00A15A93" w:rsidRDefault="00C33004" w:rsidP="00C33004">
            <w:pPr>
              <w:widowControl/>
              <w:jc w:val="left"/>
              <w:rPr>
                <w:rFonts w:ascii="宋体" w:eastAsia="宋体" w:hAnsi="宋体" w:cs="宋体"/>
                <w:color w:val="000000"/>
                <w:kern w:val="0"/>
                <w:sz w:val="24"/>
                <w:szCs w:val="24"/>
              </w:rPr>
            </w:pPr>
          </w:p>
        </w:tc>
        <w:tc>
          <w:tcPr>
            <w:tcW w:w="2400" w:type="pct"/>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到达救援点</w:t>
            </w:r>
          </w:p>
        </w:tc>
      </w:tr>
      <w:tr w:rsidR="00C33004" w:rsidRPr="00A15A93" w:rsidTr="00C33004">
        <w:trPr>
          <w:trHeight w:val="143"/>
          <w:jc w:val="center"/>
        </w:trPr>
        <w:tc>
          <w:tcPr>
            <w:tcW w:w="0" w:type="auto"/>
            <w:vMerge/>
            <w:tcBorders>
              <w:top w:val="nil"/>
              <w:left w:val="single" w:sz="8" w:space="0" w:color="000000"/>
              <w:bottom w:val="single" w:sz="8" w:space="0" w:color="000000"/>
              <w:right w:val="single" w:sz="8" w:space="0" w:color="000000"/>
            </w:tcBorders>
            <w:vAlign w:val="center"/>
            <w:hideMark/>
          </w:tcPr>
          <w:p w:rsidR="00C33004" w:rsidRPr="00A15A93" w:rsidRDefault="00C33004" w:rsidP="00C33004">
            <w:pPr>
              <w:widowControl/>
              <w:jc w:val="left"/>
              <w:rPr>
                <w:rFonts w:ascii="宋体" w:eastAsia="宋体" w:hAnsi="宋体" w:cs="宋体"/>
                <w:color w:val="000000"/>
                <w:kern w:val="0"/>
                <w:sz w:val="24"/>
                <w:szCs w:val="24"/>
              </w:rPr>
            </w:pPr>
          </w:p>
        </w:tc>
        <w:tc>
          <w:tcPr>
            <w:tcW w:w="2400" w:type="pct"/>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返回安全区域</w:t>
            </w:r>
          </w:p>
        </w:tc>
      </w:tr>
    </w:tbl>
    <w:p w:rsidR="00C33004" w:rsidRPr="00A15A93" w:rsidRDefault="00C33004" w:rsidP="00C33004">
      <w:pPr>
        <w:widowControl/>
        <w:spacing w:before="156" w:after="156" w:line="440" w:lineRule="atLeast"/>
        <w:jc w:val="left"/>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shd w:val="clear" w:color="auto" w:fill="D9D9D9"/>
        </w:rPr>
        <w:t>（三）、双臂协作机器人组</w:t>
      </w:r>
    </w:p>
    <w:p w:rsidR="00C33004" w:rsidRPr="00A15A93" w:rsidRDefault="00C33004" w:rsidP="00C33004">
      <w:pPr>
        <w:widowControl/>
        <w:spacing w:line="390" w:lineRule="atLeast"/>
        <w:jc w:val="left"/>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1. 比赛目的和要求</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本组别比赛重点考察双臂协作机器人在装配作业过程中的柔性控制、双臂协同、自主避障、安全作业等技术水平。参赛机器人需要满足以下要求：</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lastRenderedPageBreak/>
        <w:t>1）参赛机器人需为双臂协作机器人，基座为移动式或固定式，数量为1套；</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2）参赛机器人的控制算法需自主研发；</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3）机器人末端工具可为刚性或柔性手爪，数量不限，比赛过程中机器人可自主更换或不更换末端工具；</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4）机器人需具有自主的目标感知能力和力控作业能力，双臂协同可开展插拔、拧螺丝等复杂装配操作。</w:t>
      </w:r>
    </w:p>
    <w:p w:rsidR="00C33004" w:rsidRPr="00A15A93" w:rsidRDefault="00C33004" w:rsidP="00C33004">
      <w:pPr>
        <w:widowControl/>
        <w:spacing w:line="390" w:lineRule="atLeast"/>
        <w:jc w:val="left"/>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2. 比赛项目</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比赛在一个指定的装配场地开展，机器人按照任务流程要求，通过双臂协作，顺次完成规划识别、抓取装配、旋拧螺丝等比赛项目，完成装配作品。按照得分高低来评定比赛成绩。比赛项目如表3所示：</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1）机器人在限定时间内，根据指定任务，完成作业路径规划并实现动作；</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2）机器人在限定时间内，对场地内的散乱孔、轴等目标物件完成自主识别；</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3）机器人在限定时间内，对场地设置的若干零件按照装配顺序进行摆放；</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4）机器人根据装配顺序要求，采用双臂协同完成装配；</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5）机器人在恒定外力的干扰时，能够实现柔顺动作和安全作业。</w:t>
      </w:r>
    </w:p>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表3 双臂协作机器人比赛</w:t>
      </w:r>
    </w:p>
    <w:tbl>
      <w:tblPr>
        <w:tblW w:w="8177" w:type="dxa"/>
        <w:jc w:val="center"/>
        <w:tblCellMar>
          <w:left w:w="0" w:type="dxa"/>
          <w:right w:w="0" w:type="dxa"/>
        </w:tblCellMar>
        <w:tblLook w:val="04A0" w:firstRow="1" w:lastRow="0" w:firstColumn="1" w:lastColumn="0" w:noHBand="0" w:noVBand="1"/>
      </w:tblPr>
      <w:tblGrid>
        <w:gridCol w:w="3079"/>
        <w:gridCol w:w="5098"/>
      </w:tblGrid>
      <w:tr w:rsidR="00C33004" w:rsidRPr="00A15A93" w:rsidTr="00C33004">
        <w:trPr>
          <w:trHeight w:val="143"/>
          <w:jc w:val="center"/>
        </w:trPr>
        <w:tc>
          <w:tcPr>
            <w:tcW w:w="30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比赛类型</w:t>
            </w:r>
          </w:p>
        </w:tc>
        <w:tc>
          <w:tcPr>
            <w:tcW w:w="509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比赛项目</w:t>
            </w:r>
          </w:p>
        </w:tc>
      </w:tr>
      <w:tr w:rsidR="00C33004" w:rsidRPr="00A15A93" w:rsidTr="00C33004">
        <w:trPr>
          <w:trHeight w:val="143"/>
          <w:jc w:val="center"/>
        </w:trPr>
        <w:tc>
          <w:tcPr>
            <w:tcW w:w="307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双臂协作机器人比赛</w:t>
            </w:r>
          </w:p>
        </w:tc>
        <w:tc>
          <w:tcPr>
            <w:tcW w:w="5098" w:type="dxa"/>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动作规划</w:t>
            </w:r>
          </w:p>
        </w:tc>
      </w:tr>
      <w:tr w:rsidR="00C33004" w:rsidRPr="00A15A93" w:rsidTr="00C33004">
        <w:trPr>
          <w:trHeight w:val="475"/>
          <w:jc w:val="center"/>
        </w:trPr>
        <w:tc>
          <w:tcPr>
            <w:tcW w:w="3079" w:type="dxa"/>
            <w:vMerge/>
            <w:tcBorders>
              <w:top w:val="nil"/>
              <w:left w:val="single" w:sz="8" w:space="0" w:color="000000"/>
              <w:bottom w:val="single" w:sz="8" w:space="0" w:color="000000"/>
              <w:right w:val="single" w:sz="8" w:space="0" w:color="000000"/>
            </w:tcBorders>
            <w:vAlign w:val="center"/>
            <w:hideMark/>
          </w:tcPr>
          <w:p w:rsidR="00C33004" w:rsidRPr="00A15A93" w:rsidRDefault="00C33004" w:rsidP="00C33004">
            <w:pPr>
              <w:widowControl/>
              <w:jc w:val="left"/>
              <w:rPr>
                <w:rFonts w:ascii="宋体" w:eastAsia="宋体" w:hAnsi="宋体" w:cs="宋体"/>
                <w:color w:val="000000"/>
                <w:kern w:val="0"/>
                <w:sz w:val="24"/>
                <w:szCs w:val="24"/>
              </w:rPr>
            </w:pPr>
          </w:p>
        </w:tc>
        <w:tc>
          <w:tcPr>
            <w:tcW w:w="5098" w:type="dxa"/>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目标识别</w:t>
            </w:r>
          </w:p>
        </w:tc>
      </w:tr>
      <w:tr w:rsidR="00C33004" w:rsidRPr="00A15A93" w:rsidTr="00C33004">
        <w:trPr>
          <w:trHeight w:val="143"/>
          <w:jc w:val="center"/>
        </w:trPr>
        <w:tc>
          <w:tcPr>
            <w:tcW w:w="3079" w:type="dxa"/>
            <w:vMerge/>
            <w:tcBorders>
              <w:top w:val="nil"/>
              <w:left w:val="single" w:sz="8" w:space="0" w:color="000000"/>
              <w:bottom w:val="single" w:sz="8" w:space="0" w:color="000000"/>
              <w:right w:val="single" w:sz="8" w:space="0" w:color="000000"/>
            </w:tcBorders>
            <w:vAlign w:val="center"/>
            <w:hideMark/>
          </w:tcPr>
          <w:p w:rsidR="00C33004" w:rsidRPr="00A15A93" w:rsidRDefault="00C33004" w:rsidP="00C33004">
            <w:pPr>
              <w:widowControl/>
              <w:jc w:val="left"/>
              <w:rPr>
                <w:rFonts w:ascii="宋体" w:eastAsia="宋体" w:hAnsi="宋体" w:cs="宋体"/>
                <w:color w:val="000000"/>
                <w:kern w:val="0"/>
                <w:sz w:val="24"/>
                <w:szCs w:val="24"/>
              </w:rPr>
            </w:pPr>
          </w:p>
        </w:tc>
        <w:tc>
          <w:tcPr>
            <w:tcW w:w="5098" w:type="dxa"/>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零件抓取</w:t>
            </w:r>
          </w:p>
        </w:tc>
      </w:tr>
      <w:tr w:rsidR="00C33004" w:rsidRPr="00A15A93" w:rsidTr="00C33004">
        <w:trPr>
          <w:trHeight w:val="143"/>
          <w:jc w:val="center"/>
        </w:trPr>
        <w:tc>
          <w:tcPr>
            <w:tcW w:w="3079" w:type="dxa"/>
            <w:vMerge/>
            <w:tcBorders>
              <w:top w:val="nil"/>
              <w:left w:val="single" w:sz="8" w:space="0" w:color="000000"/>
              <w:bottom w:val="single" w:sz="8" w:space="0" w:color="000000"/>
              <w:right w:val="single" w:sz="8" w:space="0" w:color="000000"/>
            </w:tcBorders>
            <w:vAlign w:val="center"/>
            <w:hideMark/>
          </w:tcPr>
          <w:p w:rsidR="00C33004" w:rsidRPr="00A15A93" w:rsidRDefault="00C33004" w:rsidP="00C33004">
            <w:pPr>
              <w:widowControl/>
              <w:jc w:val="left"/>
              <w:rPr>
                <w:rFonts w:ascii="宋体" w:eastAsia="宋体" w:hAnsi="宋体" w:cs="宋体"/>
                <w:color w:val="000000"/>
                <w:kern w:val="0"/>
                <w:sz w:val="24"/>
                <w:szCs w:val="24"/>
              </w:rPr>
            </w:pPr>
          </w:p>
        </w:tc>
        <w:tc>
          <w:tcPr>
            <w:tcW w:w="5098" w:type="dxa"/>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轴孔装配</w:t>
            </w:r>
          </w:p>
        </w:tc>
      </w:tr>
      <w:tr w:rsidR="00C33004" w:rsidRPr="00A15A93" w:rsidTr="00C33004">
        <w:trPr>
          <w:trHeight w:val="143"/>
          <w:jc w:val="center"/>
        </w:trPr>
        <w:tc>
          <w:tcPr>
            <w:tcW w:w="3079" w:type="dxa"/>
            <w:vMerge/>
            <w:tcBorders>
              <w:top w:val="nil"/>
              <w:left w:val="single" w:sz="8" w:space="0" w:color="000000"/>
              <w:bottom w:val="single" w:sz="8" w:space="0" w:color="000000"/>
              <w:right w:val="single" w:sz="8" w:space="0" w:color="000000"/>
            </w:tcBorders>
            <w:vAlign w:val="center"/>
            <w:hideMark/>
          </w:tcPr>
          <w:p w:rsidR="00C33004" w:rsidRPr="00A15A93" w:rsidRDefault="00C33004" w:rsidP="00C33004">
            <w:pPr>
              <w:widowControl/>
              <w:jc w:val="left"/>
              <w:rPr>
                <w:rFonts w:ascii="宋体" w:eastAsia="宋体" w:hAnsi="宋体" w:cs="宋体"/>
                <w:color w:val="000000"/>
                <w:kern w:val="0"/>
                <w:sz w:val="24"/>
                <w:szCs w:val="24"/>
              </w:rPr>
            </w:pPr>
          </w:p>
        </w:tc>
        <w:tc>
          <w:tcPr>
            <w:tcW w:w="5098" w:type="dxa"/>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安全作业</w:t>
            </w:r>
          </w:p>
        </w:tc>
      </w:tr>
      <w:tr w:rsidR="00C33004" w:rsidRPr="00A15A93" w:rsidTr="00C33004">
        <w:trPr>
          <w:trHeight w:val="143"/>
          <w:jc w:val="center"/>
        </w:trPr>
        <w:tc>
          <w:tcPr>
            <w:tcW w:w="3079" w:type="dxa"/>
            <w:vMerge/>
            <w:tcBorders>
              <w:top w:val="nil"/>
              <w:left w:val="single" w:sz="8" w:space="0" w:color="000000"/>
              <w:bottom w:val="single" w:sz="8" w:space="0" w:color="000000"/>
              <w:right w:val="single" w:sz="8" w:space="0" w:color="000000"/>
            </w:tcBorders>
            <w:vAlign w:val="center"/>
            <w:hideMark/>
          </w:tcPr>
          <w:p w:rsidR="00C33004" w:rsidRPr="00A15A93" w:rsidRDefault="00C33004" w:rsidP="00C33004">
            <w:pPr>
              <w:widowControl/>
              <w:jc w:val="left"/>
              <w:rPr>
                <w:rFonts w:ascii="宋体" w:eastAsia="宋体" w:hAnsi="宋体" w:cs="宋体"/>
                <w:color w:val="000000"/>
                <w:kern w:val="0"/>
                <w:sz w:val="24"/>
                <w:szCs w:val="24"/>
              </w:rPr>
            </w:pPr>
          </w:p>
        </w:tc>
        <w:tc>
          <w:tcPr>
            <w:tcW w:w="5098" w:type="dxa"/>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作业时间</w:t>
            </w:r>
          </w:p>
        </w:tc>
      </w:tr>
    </w:tbl>
    <w:p w:rsidR="00C33004" w:rsidRPr="00A15A93" w:rsidRDefault="00C33004" w:rsidP="00C33004">
      <w:pPr>
        <w:widowControl/>
        <w:spacing w:before="156" w:after="156" w:line="440" w:lineRule="atLeast"/>
        <w:jc w:val="left"/>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shd w:val="clear" w:color="auto" w:fill="D9D9D9"/>
        </w:rPr>
        <w:t>（四）、机器人创新展示组</w:t>
      </w:r>
    </w:p>
    <w:p w:rsidR="00C33004" w:rsidRPr="00A15A93" w:rsidRDefault="00C33004" w:rsidP="00C33004">
      <w:pPr>
        <w:widowControl/>
        <w:spacing w:line="390" w:lineRule="atLeast"/>
        <w:jc w:val="left"/>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1. 比赛目的和要求</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本组别比赛重点考察参赛机器人的功能特异性或性能优越性，采用创新路演的方式从机器人的技术创新性、人-机-环境共融性、工艺精致性、功能及性能演示的完整性等维度，组织评审、评定优胜。参赛机器人需要满足以下要求：</w:t>
      </w:r>
    </w:p>
    <w:p w:rsidR="00C33004" w:rsidRPr="00A15A93" w:rsidRDefault="00C33004" w:rsidP="00C33004">
      <w:pPr>
        <w:widowControl/>
        <w:spacing w:line="440" w:lineRule="atLeast"/>
        <w:ind w:firstLine="425"/>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lastRenderedPageBreak/>
        <w:t>1）机器人的核心技术特征需符合共融机器人的柔顺灵巧机构、顺应控制、自然交互等特点；</w:t>
      </w:r>
    </w:p>
    <w:p w:rsidR="00C33004" w:rsidRPr="00A15A93" w:rsidRDefault="00C33004" w:rsidP="00C33004">
      <w:pPr>
        <w:widowControl/>
        <w:spacing w:line="440" w:lineRule="atLeast"/>
        <w:ind w:firstLine="425"/>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2）参赛机器人应符合创新设计的要求，至少应具有共融机器人构型、驱动、控制、感知与人机交互等技术领域的其中一个或多个技术创新点；</w:t>
      </w:r>
    </w:p>
    <w:p w:rsidR="00C33004" w:rsidRPr="00A15A93" w:rsidRDefault="00C33004" w:rsidP="00C33004">
      <w:pPr>
        <w:widowControl/>
        <w:spacing w:line="440" w:lineRule="atLeast"/>
        <w:ind w:firstLine="425"/>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3）参赛队伍应采用实物和汇报结合的创新路演方式，机器人的功能及性能演示需具有清晰完整性；</w:t>
      </w:r>
    </w:p>
    <w:p w:rsidR="00C33004" w:rsidRPr="00A15A93" w:rsidRDefault="00C33004" w:rsidP="00C33004">
      <w:pPr>
        <w:widowControl/>
        <w:spacing w:line="440" w:lineRule="atLeast"/>
        <w:ind w:firstLine="425"/>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4）参赛队伍需提交参赛机器人的相关文件进行资格审查。评审委员会将根据机器人的技术创新水平、功能和系统完整程度等内容，选拔出符合要求的队伍进入现场路演展示。</w:t>
      </w:r>
    </w:p>
    <w:p w:rsidR="00C33004" w:rsidRPr="00A15A93" w:rsidRDefault="00C33004" w:rsidP="00C33004">
      <w:pPr>
        <w:widowControl/>
        <w:spacing w:line="390" w:lineRule="atLeast"/>
        <w:jc w:val="left"/>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2. 比赛项目</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符合要求的参赛队伍，自行组织不超过10分钟的路演内容，包括实物展示和汇报，汇报可采用幻灯片或视频的技术演示方式，路演空间为不超过3mx3m的场地环境（特殊需求可提前申请）。比赛将依据实物展示和申请材料，由评审专家进行打分，按照专家的平均分数进行排序。比赛项目如表4所示：</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1）技术创新性：在机器人构型、驱动、控制、感知与人机交互等技术领域，展示新构型、新原理、新方法、新模式、新系统的一个或多个技术创新点；</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2）人-机-环境共融性：展示机器人的设计理念与技术方案的人-机-环境共融性；</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3）机器人的工艺精致性：展示机器人的精致性工艺设计；</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4）功能及性能完整性：完成机器人功能与性能的清晰完整路演。</w:t>
      </w:r>
    </w:p>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表4 机器人创新路演比赛</w:t>
      </w:r>
    </w:p>
    <w:tbl>
      <w:tblPr>
        <w:tblW w:w="8461" w:type="dxa"/>
        <w:jc w:val="center"/>
        <w:tblCellMar>
          <w:left w:w="0" w:type="dxa"/>
          <w:right w:w="0" w:type="dxa"/>
        </w:tblCellMar>
        <w:tblLook w:val="04A0" w:firstRow="1" w:lastRow="0" w:firstColumn="1" w:lastColumn="0" w:noHBand="0" w:noVBand="1"/>
      </w:tblPr>
      <w:tblGrid>
        <w:gridCol w:w="3668"/>
        <w:gridCol w:w="4793"/>
      </w:tblGrid>
      <w:tr w:rsidR="00C33004" w:rsidRPr="00A15A93" w:rsidTr="00C33004">
        <w:trPr>
          <w:trHeight w:val="143"/>
          <w:jc w:val="center"/>
        </w:trPr>
        <w:tc>
          <w:tcPr>
            <w:tcW w:w="3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比赛类型</w:t>
            </w:r>
          </w:p>
        </w:tc>
        <w:tc>
          <w:tcPr>
            <w:tcW w:w="47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比赛项目</w:t>
            </w:r>
          </w:p>
        </w:tc>
      </w:tr>
      <w:tr w:rsidR="00C33004" w:rsidRPr="00A15A93" w:rsidTr="00C33004">
        <w:trPr>
          <w:trHeight w:val="143"/>
          <w:jc w:val="center"/>
        </w:trPr>
        <w:tc>
          <w:tcPr>
            <w:tcW w:w="366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机器人创新路演比赛</w:t>
            </w:r>
          </w:p>
        </w:tc>
        <w:tc>
          <w:tcPr>
            <w:tcW w:w="4793" w:type="dxa"/>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技术创新性</w:t>
            </w:r>
          </w:p>
        </w:tc>
      </w:tr>
      <w:tr w:rsidR="00C33004" w:rsidRPr="00A15A93" w:rsidTr="00C33004">
        <w:trPr>
          <w:trHeight w:val="143"/>
          <w:jc w:val="center"/>
        </w:trPr>
        <w:tc>
          <w:tcPr>
            <w:tcW w:w="3668" w:type="dxa"/>
            <w:vMerge/>
            <w:tcBorders>
              <w:top w:val="nil"/>
              <w:left w:val="single" w:sz="8" w:space="0" w:color="000000"/>
              <w:bottom w:val="single" w:sz="8" w:space="0" w:color="000000"/>
              <w:right w:val="single" w:sz="8" w:space="0" w:color="000000"/>
            </w:tcBorders>
            <w:vAlign w:val="center"/>
            <w:hideMark/>
          </w:tcPr>
          <w:p w:rsidR="00C33004" w:rsidRPr="00A15A93" w:rsidRDefault="00C33004" w:rsidP="00C33004">
            <w:pPr>
              <w:widowControl/>
              <w:jc w:val="left"/>
              <w:rPr>
                <w:rFonts w:ascii="宋体" w:eastAsia="宋体" w:hAnsi="宋体" w:cs="宋体"/>
                <w:color w:val="000000"/>
                <w:kern w:val="0"/>
                <w:sz w:val="24"/>
                <w:szCs w:val="24"/>
              </w:rPr>
            </w:pPr>
          </w:p>
        </w:tc>
        <w:tc>
          <w:tcPr>
            <w:tcW w:w="4793" w:type="dxa"/>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人-机-环境共融性</w:t>
            </w:r>
          </w:p>
        </w:tc>
      </w:tr>
      <w:tr w:rsidR="00C33004" w:rsidRPr="00A15A93" w:rsidTr="00C33004">
        <w:trPr>
          <w:trHeight w:val="143"/>
          <w:jc w:val="center"/>
        </w:trPr>
        <w:tc>
          <w:tcPr>
            <w:tcW w:w="3668" w:type="dxa"/>
            <w:vMerge/>
            <w:tcBorders>
              <w:top w:val="nil"/>
              <w:left w:val="single" w:sz="8" w:space="0" w:color="000000"/>
              <w:bottom w:val="single" w:sz="8" w:space="0" w:color="000000"/>
              <w:right w:val="single" w:sz="8" w:space="0" w:color="000000"/>
            </w:tcBorders>
            <w:vAlign w:val="center"/>
            <w:hideMark/>
          </w:tcPr>
          <w:p w:rsidR="00C33004" w:rsidRPr="00A15A93" w:rsidRDefault="00C33004" w:rsidP="00C33004">
            <w:pPr>
              <w:widowControl/>
              <w:jc w:val="left"/>
              <w:rPr>
                <w:rFonts w:ascii="宋体" w:eastAsia="宋体" w:hAnsi="宋体" w:cs="宋体"/>
                <w:color w:val="000000"/>
                <w:kern w:val="0"/>
                <w:sz w:val="24"/>
                <w:szCs w:val="24"/>
              </w:rPr>
            </w:pPr>
          </w:p>
        </w:tc>
        <w:tc>
          <w:tcPr>
            <w:tcW w:w="4793" w:type="dxa"/>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工艺精致性</w:t>
            </w:r>
          </w:p>
        </w:tc>
      </w:tr>
      <w:tr w:rsidR="00C33004" w:rsidRPr="00A15A93" w:rsidTr="00C33004">
        <w:trPr>
          <w:trHeight w:val="143"/>
          <w:jc w:val="center"/>
        </w:trPr>
        <w:tc>
          <w:tcPr>
            <w:tcW w:w="3668" w:type="dxa"/>
            <w:vMerge/>
            <w:tcBorders>
              <w:top w:val="nil"/>
              <w:left w:val="single" w:sz="8" w:space="0" w:color="000000"/>
              <w:bottom w:val="single" w:sz="8" w:space="0" w:color="000000"/>
              <w:right w:val="single" w:sz="8" w:space="0" w:color="000000"/>
            </w:tcBorders>
            <w:vAlign w:val="center"/>
            <w:hideMark/>
          </w:tcPr>
          <w:p w:rsidR="00C33004" w:rsidRPr="00A15A93" w:rsidRDefault="00C33004" w:rsidP="00C33004">
            <w:pPr>
              <w:widowControl/>
              <w:jc w:val="left"/>
              <w:rPr>
                <w:rFonts w:ascii="宋体" w:eastAsia="宋体" w:hAnsi="宋体" w:cs="宋体"/>
                <w:color w:val="000000"/>
                <w:kern w:val="0"/>
                <w:sz w:val="24"/>
                <w:szCs w:val="24"/>
              </w:rPr>
            </w:pPr>
          </w:p>
        </w:tc>
        <w:tc>
          <w:tcPr>
            <w:tcW w:w="4793" w:type="dxa"/>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功能及性能完整性</w:t>
            </w:r>
          </w:p>
        </w:tc>
      </w:tr>
    </w:tbl>
    <w:p w:rsidR="00C33004" w:rsidRPr="00A15A93" w:rsidRDefault="00C33004" w:rsidP="00C33004">
      <w:pPr>
        <w:widowControl/>
        <w:spacing w:before="156" w:after="156" w:line="440" w:lineRule="atLeast"/>
        <w:jc w:val="left"/>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shd w:val="clear" w:color="auto" w:fill="D9D9D9"/>
        </w:rPr>
        <w:t>（五）、机器人青年创意组</w:t>
      </w:r>
    </w:p>
    <w:p w:rsidR="00C33004" w:rsidRPr="00A15A93" w:rsidRDefault="00C33004" w:rsidP="00C33004">
      <w:pPr>
        <w:widowControl/>
        <w:spacing w:line="390" w:lineRule="atLeast"/>
        <w:jc w:val="left"/>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1. 比赛目的和要求</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lastRenderedPageBreak/>
        <w:t>本组别比赛重点考察机器人的创意思想，采用创意展示的方式从创意主题契合、方案可行性、内容完整性等维度，组织评审、评定优胜。参赛机器人需要满足以下要求：</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1）机器人的创意思想展示应契合共融机器人主题，体现共融机器人的内涵；</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2）参赛内容应体现创意新颖性、方案可行性、内容完整性等要素特征；</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3） 参赛内容应为最新研究成果，所展示技术内容原则上近2年内才有报道或还未见报道；</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4）参赛队伍主要成员应在35岁周岁以下，采用创新思想、汇报或视频展示等方式参加比赛；</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5）参赛队伍需提交创新思想或技术方案等相关文件进行资格审查，评审委员会将根据创意新颖性、技术可行性、清晰完整性等内容，选拔出符合要求的队伍进入现场创意展示。</w:t>
      </w:r>
    </w:p>
    <w:p w:rsidR="00C33004" w:rsidRPr="00A15A93" w:rsidRDefault="00C33004" w:rsidP="00C33004">
      <w:pPr>
        <w:widowControl/>
        <w:spacing w:line="390" w:lineRule="atLeast"/>
        <w:jc w:val="left"/>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2. 比赛项目</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符合要求的参赛队伍，自行组织不超过10分钟的创意展示内容，采用创新思想幻灯片、展板或视频等演示方式，展示空间为不超过3mx3m的场地环境（特殊需求可提前申请）。比赛将依据创意展示和申请材料，由评审专家进行打分，按照专家的平均分数进行排序。比赛项目如表5所示：</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1）创意新颖性：思想创新性、方法独特性、技术特色性等，具有一个或多个创意展示点；</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2）主题契合度：内容契合主题、技术特点鲜明等；</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3）方案可行性：理论新颖、技术可操作性、解决方案可行性等；</w:t>
      </w:r>
    </w:p>
    <w:p w:rsidR="00C33004" w:rsidRPr="00A15A93" w:rsidRDefault="00C33004" w:rsidP="00C33004">
      <w:pPr>
        <w:widowControl/>
        <w:spacing w:line="440" w:lineRule="atLeast"/>
        <w:ind w:firstLine="480"/>
        <w:jc w:val="left"/>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4）内容完整性：内容表述完整、制作巧妙精良等。</w:t>
      </w:r>
    </w:p>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表5 机器人青年创意比赛</w:t>
      </w:r>
    </w:p>
    <w:tbl>
      <w:tblPr>
        <w:tblW w:w="9585" w:type="dxa"/>
        <w:jc w:val="center"/>
        <w:tblCellMar>
          <w:left w:w="0" w:type="dxa"/>
          <w:right w:w="0" w:type="dxa"/>
        </w:tblCellMar>
        <w:tblLook w:val="04A0" w:firstRow="1" w:lastRow="0" w:firstColumn="1" w:lastColumn="0" w:noHBand="0" w:noVBand="1"/>
      </w:tblPr>
      <w:tblGrid>
        <w:gridCol w:w="4399"/>
        <w:gridCol w:w="5186"/>
      </w:tblGrid>
      <w:tr w:rsidR="00C33004" w:rsidRPr="00A15A93" w:rsidTr="00C33004">
        <w:trPr>
          <w:trHeight w:val="143"/>
          <w:jc w:val="center"/>
        </w:trPr>
        <w:tc>
          <w:tcPr>
            <w:tcW w:w="24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比赛类型</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b/>
                <w:bCs/>
                <w:color w:val="000000"/>
                <w:kern w:val="0"/>
                <w:sz w:val="24"/>
                <w:szCs w:val="24"/>
              </w:rPr>
              <w:t>比赛项目</w:t>
            </w:r>
          </w:p>
        </w:tc>
      </w:tr>
      <w:tr w:rsidR="00C33004" w:rsidRPr="00A15A93" w:rsidTr="00C33004">
        <w:trPr>
          <w:trHeight w:val="143"/>
          <w:jc w:val="center"/>
        </w:trPr>
        <w:tc>
          <w:tcPr>
            <w:tcW w:w="2405"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机器人青年创意比赛</w:t>
            </w: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思想独特创意</w:t>
            </w:r>
          </w:p>
        </w:tc>
      </w:tr>
      <w:tr w:rsidR="00C33004" w:rsidRPr="00A15A93" w:rsidTr="00C33004">
        <w:trPr>
          <w:trHeight w:val="143"/>
          <w:jc w:val="center"/>
        </w:trPr>
        <w:tc>
          <w:tcPr>
            <w:tcW w:w="0" w:type="auto"/>
            <w:vMerge/>
            <w:tcBorders>
              <w:top w:val="nil"/>
              <w:left w:val="single" w:sz="8" w:space="0" w:color="000000"/>
              <w:bottom w:val="single" w:sz="8" w:space="0" w:color="000000"/>
              <w:right w:val="single" w:sz="8" w:space="0" w:color="000000"/>
            </w:tcBorders>
            <w:vAlign w:val="center"/>
            <w:hideMark/>
          </w:tcPr>
          <w:p w:rsidR="00C33004" w:rsidRPr="00A15A93" w:rsidRDefault="00C33004" w:rsidP="00C33004">
            <w:pPr>
              <w:widowControl/>
              <w:jc w:val="left"/>
              <w:rPr>
                <w:rFonts w:ascii="宋体" w:eastAsia="宋体" w:hAnsi="宋体" w:cs="宋体"/>
                <w:color w:val="000000"/>
                <w:kern w:val="0"/>
                <w:sz w:val="24"/>
                <w:szCs w:val="24"/>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主题契合鲜明</w:t>
            </w:r>
          </w:p>
        </w:tc>
      </w:tr>
      <w:tr w:rsidR="00C33004" w:rsidRPr="00A15A93" w:rsidTr="00C33004">
        <w:trPr>
          <w:trHeight w:val="143"/>
          <w:jc w:val="center"/>
        </w:trPr>
        <w:tc>
          <w:tcPr>
            <w:tcW w:w="0" w:type="auto"/>
            <w:vMerge/>
            <w:tcBorders>
              <w:top w:val="nil"/>
              <w:left w:val="single" w:sz="8" w:space="0" w:color="000000"/>
              <w:bottom w:val="single" w:sz="8" w:space="0" w:color="000000"/>
              <w:right w:val="single" w:sz="8" w:space="0" w:color="000000"/>
            </w:tcBorders>
            <w:vAlign w:val="center"/>
            <w:hideMark/>
          </w:tcPr>
          <w:p w:rsidR="00C33004" w:rsidRPr="00A15A93" w:rsidRDefault="00C33004" w:rsidP="00C33004">
            <w:pPr>
              <w:widowControl/>
              <w:jc w:val="left"/>
              <w:rPr>
                <w:rFonts w:ascii="宋体" w:eastAsia="宋体" w:hAnsi="宋体" w:cs="宋体"/>
                <w:color w:val="000000"/>
                <w:kern w:val="0"/>
                <w:sz w:val="24"/>
                <w:szCs w:val="24"/>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方案新颖可行</w:t>
            </w:r>
          </w:p>
        </w:tc>
      </w:tr>
      <w:tr w:rsidR="00C33004" w:rsidRPr="00A15A93" w:rsidTr="00C33004">
        <w:trPr>
          <w:trHeight w:val="143"/>
          <w:jc w:val="center"/>
        </w:trPr>
        <w:tc>
          <w:tcPr>
            <w:tcW w:w="0" w:type="auto"/>
            <w:vMerge/>
            <w:tcBorders>
              <w:top w:val="nil"/>
              <w:left w:val="single" w:sz="8" w:space="0" w:color="000000"/>
              <w:bottom w:val="single" w:sz="8" w:space="0" w:color="000000"/>
              <w:right w:val="single" w:sz="8" w:space="0" w:color="000000"/>
            </w:tcBorders>
            <w:vAlign w:val="center"/>
            <w:hideMark/>
          </w:tcPr>
          <w:p w:rsidR="00C33004" w:rsidRPr="00A15A93" w:rsidRDefault="00C33004" w:rsidP="00C33004">
            <w:pPr>
              <w:widowControl/>
              <w:jc w:val="left"/>
              <w:rPr>
                <w:rFonts w:ascii="宋体" w:eastAsia="宋体" w:hAnsi="宋体" w:cs="宋体"/>
                <w:color w:val="000000"/>
                <w:kern w:val="0"/>
                <w:sz w:val="24"/>
                <w:szCs w:val="24"/>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hideMark/>
          </w:tcPr>
          <w:p w:rsidR="00C33004" w:rsidRPr="00A15A93" w:rsidRDefault="00C33004" w:rsidP="00C33004">
            <w:pPr>
              <w:widowControl/>
              <w:spacing w:line="390" w:lineRule="atLeast"/>
              <w:jc w:val="center"/>
              <w:rPr>
                <w:rFonts w:ascii="宋体" w:eastAsia="宋体" w:hAnsi="宋体" w:cs="宋体"/>
                <w:color w:val="000000"/>
                <w:kern w:val="0"/>
                <w:sz w:val="24"/>
                <w:szCs w:val="24"/>
              </w:rPr>
            </w:pPr>
            <w:r w:rsidRPr="00A15A93">
              <w:rPr>
                <w:rFonts w:ascii="宋体" w:eastAsia="宋体" w:hAnsi="宋体" w:cs="宋体" w:hint="eastAsia"/>
                <w:color w:val="000000"/>
                <w:kern w:val="0"/>
                <w:sz w:val="24"/>
                <w:szCs w:val="24"/>
              </w:rPr>
              <w:t>内容完整巧妙</w:t>
            </w:r>
          </w:p>
        </w:tc>
      </w:tr>
    </w:tbl>
    <w:p w:rsidR="0022088F" w:rsidRPr="00A15A93" w:rsidRDefault="0022088F" w:rsidP="00A15A93">
      <w:pPr>
        <w:widowControl/>
        <w:spacing w:before="156" w:after="156" w:line="440" w:lineRule="atLeast"/>
        <w:jc w:val="left"/>
        <w:rPr>
          <w:rFonts w:ascii="宋体" w:eastAsia="宋体" w:hAnsi="宋体"/>
        </w:rPr>
      </w:pPr>
    </w:p>
    <w:sectPr w:rsidR="0022088F" w:rsidRPr="00A15A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45E" w:rsidRDefault="00D9145E" w:rsidP="00A15A93">
      <w:r>
        <w:separator/>
      </w:r>
    </w:p>
  </w:endnote>
  <w:endnote w:type="continuationSeparator" w:id="0">
    <w:p w:rsidR="00D9145E" w:rsidRDefault="00D9145E" w:rsidP="00A1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45E" w:rsidRDefault="00D9145E" w:rsidP="00A15A93">
      <w:r>
        <w:separator/>
      </w:r>
    </w:p>
  </w:footnote>
  <w:footnote w:type="continuationSeparator" w:id="0">
    <w:p w:rsidR="00D9145E" w:rsidRDefault="00D9145E" w:rsidP="00A15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063"/>
    <w:rsid w:val="0022088F"/>
    <w:rsid w:val="00A15A93"/>
    <w:rsid w:val="00BB0063"/>
    <w:rsid w:val="00C33004"/>
    <w:rsid w:val="00D91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B4555"/>
  <w15:chartTrackingRefBased/>
  <w15:docId w15:val="{BCA976E7-E889-48FB-94CB-8A573952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C3300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C33004"/>
    <w:rPr>
      <w:rFonts w:ascii="宋体" w:eastAsia="宋体" w:hAnsi="宋体" w:cs="宋体"/>
      <w:b/>
      <w:bCs/>
      <w:kern w:val="0"/>
      <w:sz w:val="36"/>
      <w:szCs w:val="36"/>
    </w:rPr>
  </w:style>
  <w:style w:type="paragraph" w:styleId="a3">
    <w:name w:val="Normal (Web)"/>
    <w:basedOn w:val="a"/>
    <w:uiPriority w:val="99"/>
    <w:semiHidden/>
    <w:unhideWhenUsed/>
    <w:rsid w:val="00C3300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33004"/>
    <w:rPr>
      <w:b/>
      <w:bCs/>
    </w:rPr>
  </w:style>
  <w:style w:type="paragraph" w:styleId="a5">
    <w:name w:val="List Paragraph"/>
    <w:basedOn w:val="a"/>
    <w:uiPriority w:val="34"/>
    <w:qFormat/>
    <w:rsid w:val="00C3300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33004"/>
  </w:style>
  <w:style w:type="character" w:styleId="a6">
    <w:name w:val="Hyperlink"/>
    <w:basedOn w:val="a0"/>
    <w:uiPriority w:val="99"/>
    <w:semiHidden/>
    <w:unhideWhenUsed/>
    <w:rsid w:val="00C33004"/>
    <w:rPr>
      <w:color w:val="0000FF"/>
      <w:u w:val="single"/>
    </w:rPr>
  </w:style>
  <w:style w:type="paragraph" w:styleId="a7">
    <w:name w:val="header"/>
    <w:basedOn w:val="a"/>
    <w:link w:val="a8"/>
    <w:uiPriority w:val="99"/>
    <w:unhideWhenUsed/>
    <w:rsid w:val="00A15A9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A15A93"/>
    <w:rPr>
      <w:sz w:val="18"/>
      <w:szCs w:val="18"/>
    </w:rPr>
  </w:style>
  <w:style w:type="paragraph" w:styleId="a9">
    <w:name w:val="footer"/>
    <w:basedOn w:val="a"/>
    <w:link w:val="aa"/>
    <w:uiPriority w:val="99"/>
    <w:unhideWhenUsed/>
    <w:rsid w:val="00A15A93"/>
    <w:pPr>
      <w:tabs>
        <w:tab w:val="center" w:pos="4153"/>
        <w:tab w:val="right" w:pos="8306"/>
      </w:tabs>
      <w:snapToGrid w:val="0"/>
      <w:jc w:val="left"/>
    </w:pPr>
    <w:rPr>
      <w:sz w:val="18"/>
      <w:szCs w:val="18"/>
    </w:rPr>
  </w:style>
  <w:style w:type="character" w:customStyle="1" w:styleId="aa">
    <w:name w:val="页脚 字符"/>
    <w:basedOn w:val="a0"/>
    <w:link w:val="a9"/>
    <w:uiPriority w:val="99"/>
    <w:rsid w:val="00A15A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492735">
      <w:bodyDiv w:val="1"/>
      <w:marLeft w:val="0"/>
      <w:marRight w:val="0"/>
      <w:marTop w:val="0"/>
      <w:marBottom w:val="0"/>
      <w:divBdr>
        <w:top w:val="none" w:sz="0" w:space="0" w:color="auto"/>
        <w:left w:val="none" w:sz="0" w:space="0" w:color="auto"/>
        <w:bottom w:val="none" w:sz="0" w:space="0" w:color="auto"/>
        <w:right w:val="none" w:sz="0" w:space="0" w:color="auto"/>
      </w:divBdr>
      <w:divsChild>
        <w:div w:id="143702295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zxy</dc:creator>
  <cp:keywords/>
  <dc:description/>
  <cp:lastModifiedBy>zxy</cp:lastModifiedBy>
  <cp:revision>2</cp:revision>
  <dcterms:created xsi:type="dcterms:W3CDTF">2018-03-05T07:18:00Z</dcterms:created>
  <dcterms:modified xsi:type="dcterms:W3CDTF">2018-03-05T07:18:00Z</dcterms:modified>
</cp:coreProperties>
</file>