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D1" w:rsidRPr="006F56D1" w:rsidRDefault="006F56D1" w:rsidP="006F56D1">
      <w:pPr>
        <w:widowControl/>
        <w:shd w:val="clear" w:color="auto" w:fill="FFFFFF"/>
        <w:spacing w:line="420" w:lineRule="atLeast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</w:pPr>
      <w:r w:rsidRPr="006F56D1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研究生</w:t>
      </w:r>
      <w:r w:rsidRPr="006F56D1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精品课程</w:t>
      </w:r>
      <w:r w:rsidRPr="006F56D1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评价</w:t>
      </w:r>
      <w:r w:rsidR="006A3305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参考</w:t>
      </w:r>
      <w:bookmarkStart w:id="0" w:name="_GoBack"/>
      <w:bookmarkEnd w:id="0"/>
      <w:r w:rsidRPr="006F56D1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指标</w:t>
      </w:r>
    </w:p>
    <w:p w:rsidR="006F56D1" w:rsidRPr="000C5FBA" w:rsidRDefault="000C5FBA" w:rsidP="000C5FBA">
      <w:pPr>
        <w:widowControl/>
        <w:shd w:val="clear" w:color="auto" w:fill="FFFFFF"/>
        <w:spacing w:line="405" w:lineRule="atLeast"/>
        <w:ind w:left="15" w:hanging="15"/>
        <w:jc w:val="center"/>
        <w:rPr>
          <w:rFonts w:ascii="仿宋_GB2312" w:eastAsia="仿宋_GB2312" w:hAnsi="宋体" w:cs="宋体"/>
          <w:color w:val="333333"/>
          <w:kern w:val="0"/>
          <w:sz w:val="29"/>
          <w:szCs w:val="29"/>
        </w:rPr>
      </w:pPr>
      <w:r w:rsidRPr="000C5FBA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（试行</w:t>
      </w:r>
      <w:r w:rsidRPr="000C5FBA">
        <w:rPr>
          <w:rFonts w:ascii="仿宋_GB2312" w:eastAsia="仿宋_GB2312" w:hAnsi="宋体" w:cs="宋体"/>
          <w:color w:val="333333"/>
          <w:kern w:val="0"/>
          <w:sz w:val="29"/>
          <w:szCs w:val="29"/>
        </w:rPr>
        <w:t>，</w:t>
      </w:r>
      <w:r w:rsidRPr="000C5FBA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2019年1月）</w:t>
      </w:r>
    </w:p>
    <w:p w:rsidR="00883BEE" w:rsidRPr="00883BEE" w:rsidRDefault="00883BEE" w:rsidP="00883BEE">
      <w:pPr>
        <w:widowControl/>
        <w:shd w:val="clear" w:color="auto" w:fill="FFFFFF"/>
        <w:spacing w:line="405" w:lineRule="atLeast"/>
        <w:ind w:firstLine="5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3BEE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1</w:t>
      </w:r>
      <w:r w:rsidRPr="00883BEE">
        <w:rPr>
          <w:rFonts w:ascii="仿宋_GB2312" w:eastAsia="仿宋_GB2312" w:hAnsi="宋体" w:cs="宋体" w:hint="eastAsia"/>
          <w:b/>
          <w:bCs/>
          <w:color w:val="333333"/>
          <w:kern w:val="0"/>
          <w:sz w:val="29"/>
          <w:szCs w:val="29"/>
        </w:rPr>
        <w:t>．评审指标说明</w:t>
      </w:r>
    </w:p>
    <w:p w:rsidR="00065516" w:rsidRPr="00CC7461" w:rsidRDefault="00883BEE" w:rsidP="0024584E">
      <w:pPr>
        <w:widowControl/>
        <w:shd w:val="clear" w:color="auto" w:fill="FFFFFF"/>
        <w:spacing w:line="405" w:lineRule="atLeast"/>
        <w:ind w:left="15" w:firstLine="555"/>
        <w:jc w:val="left"/>
        <w:rPr>
          <w:rFonts w:ascii="仿宋_GB2312" w:eastAsia="仿宋_GB2312" w:hAnsi="宋体" w:cs="宋体"/>
          <w:color w:val="333333"/>
          <w:kern w:val="0"/>
          <w:sz w:val="29"/>
          <w:szCs w:val="29"/>
        </w:rPr>
      </w:pPr>
      <w:r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</w:t>
      </w:r>
      <w:r w:rsidR="00307AC9">
        <w:rPr>
          <w:rFonts w:ascii="仿宋_GB2312" w:eastAsia="仿宋_GB2312" w:hAnsi="宋体" w:cs="宋体"/>
          <w:color w:val="333333"/>
          <w:kern w:val="0"/>
          <w:sz w:val="29"/>
          <w:szCs w:val="29"/>
        </w:rPr>
        <w:t>1</w:t>
      </w:r>
      <w:r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）</w:t>
      </w:r>
      <w:r w:rsidR="0024584E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参评</w:t>
      </w:r>
      <w:r w:rsidR="00D25335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基本</w:t>
      </w:r>
      <w:r w:rsidR="00D25335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条件：</w:t>
      </w:r>
      <w:r w:rsidR="00D25335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课程负责人近三年主讲此门课程不少于两轮</w:t>
      </w:r>
      <w:r w:rsidR="0024584E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；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各类教学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文档齐全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，如教学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大纲、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教学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日历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、教材（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讲义、教案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课件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等）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、参考资料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、</w:t>
      </w:r>
      <w:r w:rsidR="00DB2933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考核</w:t>
      </w:r>
      <w:r w:rsidR="00DB2933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答卷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（如</w:t>
      </w:r>
      <w:r w:rsidR="00F4667B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论文、设计、作品</w:t>
      </w:r>
      <w:r w:rsidR="00F4667B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等）、</w:t>
      </w:r>
      <w:r w:rsidR="00DB2933" w:rsidRPr="00CC7461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评分</w:t>
      </w:r>
      <w:r w:rsidR="00DB2933" w:rsidRPr="00CC7461">
        <w:rPr>
          <w:rFonts w:ascii="仿宋_GB2312" w:eastAsia="仿宋_GB2312" w:hAnsi="宋体" w:cs="宋体"/>
          <w:color w:val="333333"/>
          <w:kern w:val="0"/>
          <w:sz w:val="29"/>
          <w:szCs w:val="29"/>
        </w:rPr>
        <w:t>标准。</w:t>
      </w:r>
    </w:p>
    <w:p w:rsidR="0024584E" w:rsidRDefault="0024584E" w:rsidP="0024584E">
      <w:pPr>
        <w:widowControl/>
        <w:shd w:val="clear" w:color="auto" w:fill="FFFFFF"/>
        <w:spacing w:line="405" w:lineRule="atLeast"/>
        <w:ind w:left="15" w:firstLine="555"/>
        <w:jc w:val="left"/>
        <w:rPr>
          <w:rFonts w:ascii="仿宋_GB2312" w:eastAsia="仿宋_GB2312" w:hAnsi="宋体" w:cs="宋体"/>
          <w:color w:val="333333"/>
          <w:kern w:val="0"/>
          <w:sz w:val="29"/>
          <w:szCs w:val="29"/>
        </w:rPr>
      </w:pP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</w:t>
      </w:r>
      <w:r w:rsid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2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）总分计算：</w:t>
      </w:r>
      <w:r w:rsidR="00651E43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M=∑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M</w:t>
      </w:r>
      <w:r w:rsidRP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  <w:vertAlign w:val="subscript"/>
        </w:rPr>
        <w:t>i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</w:t>
      </w:r>
      <w:r w:rsidRPr="00883BEE">
        <w:rPr>
          <w:rFonts w:ascii="Times New Roman" w:eastAsia="宋体" w:hAnsi="Times New Roman" w:cs="Times New Roman"/>
          <w:color w:val="333333"/>
          <w:kern w:val="0"/>
          <w:sz w:val="29"/>
          <w:szCs w:val="29"/>
        </w:rPr>
        <w:t>M</w:t>
      </w:r>
      <w:r w:rsidRPr="00307AC9">
        <w:rPr>
          <w:rFonts w:ascii="Times New Roman" w:eastAsia="宋体" w:hAnsi="Times New Roman" w:cs="Times New Roman"/>
          <w:color w:val="333333"/>
          <w:kern w:val="0"/>
          <w:sz w:val="29"/>
          <w:szCs w:val="29"/>
          <w:vertAlign w:val="subscript"/>
        </w:rPr>
        <w:t>i</w:t>
      </w:r>
      <w:r w:rsidRPr="00883BEE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是各二级指标的分值。</w:t>
      </w:r>
    </w:p>
    <w:p w:rsidR="00AC5A0A" w:rsidRPr="00883BEE" w:rsidRDefault="00AC5A0A" w:rsidP="0024584E">
      <w:pPr>
        <w:widowControl/>
        <w:shd w:val="clear" w:color="auto" w:fill="FFFFFF"/>
        <w:spacing w:line="405" w:lineRule="atLeast"/>
        <w:ind w:left="15" w:firstLine="5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（3）评审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方式：函评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（课程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结题报告、课程网站、课程视频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）、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海评（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课程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网站上提供评价链接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如二维码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；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课程展示中的二维码）</w:t>
      </w:r>
      <w:r w:rsidR="003F4490"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，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会评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（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结合</w:t>
      </w:r>
      <w:r>
        <w:rPr>
          <w:rFonts w:ascii="仿宋_GB2312" w:eastAsia="仿宋_GB2312" w:hAnsi="宋体" w:cs="宋体"/>
          <w:color w:val="333333"/>
          <w:kern w:val="0"/>
          <w:sz w:val="29"/>
          <w:szCs w:val="29"/>
        </w:rPr>
        <w:t>函评、海评中的提问）</w:t>
      </w:r>
      <w:r>
        <w:rPr>
          <w:rFonts w:ascii="仿宋_GB2312" w:eastAsia="仿宋_GB2312" w:hAnsi="宋体" w:cs="宋体" w:hint="eastAsia"/>
          <w:color w:val="333333"/>
          <w:kern w:val="0"/>
          <w:sz w:val="29"/>
          <w:szCs w:val="29"/>
        </w:rPr>
        <w:t>。</w:t>
      </w:r>
    </w:p>
    <w:p w:rsidR="008574C1" w:rsidRPr="0024584E" w:rsidRDefault="008574C1">
      <w:pPr>
        <w:widowControl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</w:pPr>
    </w:p>
    <w:p w:rsidR="00883BEE" w:rsidRDefault="00883BEE" w:rsidP="00883BEE">
      <w:pPr>
        <w:widowControl/>
        <w:shd w:val="clear" w:color="auto" w:fill="FFFFFF"/>
        <w:spacing w:line="615" w:lineRule="atLeast"/>
        <w:jc w:val="left"/>
        <w:rPr>
          <w:rFonts w:ascii="仿宋_GB2312" w:eastAsia="仿宋_GB2312" w:hAnsi="宋体" w:cs="宋体"/>
          <w:b/>
          <w:bCs/>
          <w:color w:val="333333"/>
          <w:kern w:val="0"/>
          <w:sz w:val="30"/>
          <w:szCs w:val="30"/>
        </w:rPr>
      </w:pPr>
      <w:r w:rsidRPr="00883BEE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2</w:t>
      </w:r>
      <w:r w:rsidR="00D64AB5">
        <w:rPr>
          <w:rFonts w:ascii="Times New Roman" w:eastAsia="宋体" w:hAnsi="Times New Roman" w:cs="Times New Roman"/>
          <w:b/>
          <w:bCs/>
          <w:color w:val="333333"/>
          <w:kern w:val="0"/>
          <w:sz w:val="29"/>
          <w:szCs w:val="29"/>
        </w:rPr>
        <w:t>A</w:t>
      </w:r>
      <w:r w:rsidRPr="00883BEE">
        <w:rPr>
          <w:rFonts w:ascii="仿宋_GB2312" w:eastAsia="仿宋_GB2312" w:hAnsi="宋体" w:cs="宋体" w:hint="eastAsia"/>
          <w:b/>
          <w:bCs/>
          <w:color w:val="333333"/>
          <w:kern w:val="0"/>
          <w:sz w:val="29"/>
          <w:szCs w:val="29"/>
        </w:rPr>
        <w:t>．</w:t>
      </w:r>
      <w:r w:rsidRPr="00883BEE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评审指标及内涵</w:t>
      </w:r>
      <w:r w:rsidR="00FB069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（参考）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07"/>
        <w:gridCol w:w="984"/>
        <w:gridCol w:w="6019"/>
        <w:gridCol w:w="680"/>
        <w:gridCol w:w="734"/>
      </w:tblGrid>
      <w:tr w:rsidR="009831F7" w:rsidRPr="00883BEE" w:rsidTr="00AF772F">
        <w:trPr>
          <w:trHeight w:val="1077"/>
          <w:jc w:val="center"/>
        </w:trPr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一级</w:t>
            </w:r>
          </w:p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二级</w:t>
            </w:r>
          </w:p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主要</w:t>
            </w:r>
          </w:p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观测点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评审标准（A</w:t>
            </w:r>
            <w:r w:rsidRPr="00307AC9"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24"/>
              </w:rPr>
              <w:t>级</w:t>
            </w: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分值</w:t>
            </w:r>
          </w:p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Cs w:val="21"/>
              </w:rPr>
            </w:pP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（</w:t>
            </w: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</w:rPr>
              <w:t>M</w:t>
            </w:r>
            <w:r w:rsidRPr="00307AC9">
              <w:rPr>
                <w:rFonts w:ascii="黑体" w:eastAsia="黑体" w:hAnsi="黑体" w:cs="Times New Roman"/>
                <w:b/>
                <w:color w:val="333333"/>
                <w:kern w:val="0"/>
                <w:sz w:val="24"/>
                <w:szCs w:val="24"/>
                <w:vertAlign w:val="subscript"/>
              </w:rPr>
              <w:t>i</w:t>
            </w:r>
            <w:r w:rsidRPr="00307AC9"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381" w:type="pct"/>
          </w:tcPr>
          <w:p w:rsidR="008318CB" w:rsidRPr="00307AC9" w:rsidRDefault="008318CB" w:rsidP="00883BEE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24"/>
              </w:rPr>
              <w:t>得分</w:t>
            </w:r>
          </w:p>
        </w:tc>
      </w:tr>
      <w:tr w:rsidR="009831F7" w:rsidRPr="00883BEE" w:rsidTr="00AF772F">
        <w:trPr>
          <w:trHeight w:val="1260"/>
          <w:jc w:val="center"/>
        </w:trPr>
        <w:tc>
          <w:tcPr>
            <w:tcW w:w="315" w:type="pct"/>
            <w:vMerge w:val="restar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队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伍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318CB" w:rsidRPr="00883BEE" w:rsidRDefault="00085BAD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25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15" w:type="pct"/>
            <w:vMerge w:val="restar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1-1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人与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主讲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D633B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教师风范、教学水平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C31F8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课程负责人与主讲教师师德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高尚、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注重立德树人，积极贯彻党的教育方针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教学经验丰富，教学特色鲜明。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31F7" w:rsidRPr="00883BEE" w:rsidTr="00AF772F">
        <w:trPr>
          <w:trHeight w:val="1260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vMerge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F0792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学术水平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Default="008318CB" w:rsidP="00F07929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  <w:shd w:val="pct15" w:color="auto" w:fill="FFFFFF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学术造诣高，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具有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一定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的创新经历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318CB" w:rsidRPr="00307AC9" w:rsidRDefault="008318CB" w:rsidP="00FB0690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课：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学术造诣高，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具有</w:t>
            </w:r>
            <w:r w:rsidRPr="00603A1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突出</w:t>
            </w:r>
            <w:r w:rsidRPr="00603A1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的创新经历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创新成果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（如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院士、国家科技奖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第一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完成人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、S/N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C论文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作者等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085BAD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</w:t>
            </w:r>
            <w:r w:rsidR="008318CB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31F7" w:rsidRPr="00883BEE" w:rsidTr="00AF772F">
        <w:trPr>
          <w:trHeight w:val="836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1-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建设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603A1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队伍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建设、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教研活动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成果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Default="008318CB" w:rsidP="00F07929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教学团队团结协作精神好；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大规模课堂有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助教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参与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研讨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互动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；青年教师的培养计划科学合理，并取得实际效果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318CB" w:rsidRPr="00883BEE" w:rsidRDefault="008318CB" w:rsidP="00F0792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教学思想活跃，教学改革有创意；教研活动推动了教学改革，取得了明显成效，有省部级以上的教学成果、规划教材或教改项目；发表了高质量的教研论文。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31F7" w:rsidRPr="00883BEE" w:rsidTr="00AF772F">
        <w:trPr>
          <w:trHeight w:val="3109"/>
          <w:jc w:val="center"/>
        </w:trPr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教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内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容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 w:rsidR="009A07C0"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2-1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</w:p>
          <w:p w:rsidR="008318CB" w:rsidRPr="00883BEE" w:rsidRDefault="008318CB" w:rsidP="001C574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9B0BF6" w:rsidRDefault="008318CB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课程内容设计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Default="008318CB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课程内容设计要根据人才培养目标</w:t>
            </w:r>
            <w:r w:rsidR="00FA688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（区别</w:t>
            </w:r>
            <w:r w:rsidR="00FA6887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与本科生</w:t>
            </w:r>
            <w:r w:rsidR="00FA688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，体现现代教育思想，符合科学性、先进性和教育规律。</w:t>
            </w:r>
          </w:p>
          <w:p w:rsidR="008318CB" w:rsidRDefault="008318CB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注重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融入国内外</w:t>
            </w:r>
            <w:r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最新的研究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成果</w:t>
            </w:r>
            <w:r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与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创新</w:t>
            </w:r>
            <w:r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案例，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注重</w:t>
            </w:r>
            <w:r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知识生产过程的剖析和方法论的传授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具有</w:t>
            </w:r>
            <w:r w:rsidRPr="009B0B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较强的创新启发</w:t>
            </w:r>
            <w:r w:rsidRPr="009B0B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318CB" w:rsidRPr="00EA4FE5" w:rsidRDefault="008318CB" w:rsidP="00883BE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内容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完整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支撑教学目标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体系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完备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融入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了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知识演进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路线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剖析、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突出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贡献人物介绍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方法论的传授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有选课研究生专业领域的应用介绍（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或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案例），对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研究生来讲具有一定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的创新启发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9A07C0" w:rsidP="00D7620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  <w:r w:rsidR="008318CB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318CB" w:rsidRPr="00883BEE" w:rsidTr="00AF772F">
        <w:trPr>
          <w:trHeight w:val="1260"/>
          <w:jc w:val="center"/>
        </w:trPr>
        <w:tc>
          <w:tcPr>
            <w:tcW w:w="315" w:type="pct"/>
            <w:vMerge w:val="restar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ind w:left="12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318CB" w:rsidRPr="00883BEE" w:rsidRDefault="008318CB" w:rsidP="00883BEE">
            <w:pPr>
              <w:widowControl/>
              <w:spacing w:line="300" w:lineRule="atLeast"/>
              <w:ind w:left="12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8318CB" w:rsidRPr="00883BEE" w:rsidRDefault="008318CB" w:rsidP="00883BEE">
            <w:pPr>
              <w:widowControl/>
              <w:spacing w:line="300" w:lineRule="atLeast"/>
              <w:ind w:left="12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条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件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9A07C0"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  <w:t>5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3-1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教材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及相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关资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料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教材及相关资料建设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选用优秀教材（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如国外高水平原版教材或高水平的自编教材）；课件、案例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等相关资料丰富，并为学生的研究性学习和自主学习提供了有效的文献资料。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  <w:vMerge w:val="restar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318CB" w:rsidRPr="00883BEE" w:rsidTr="00AF772F">
        <w:trPr>
          <w:trHeight w:val="1260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3-2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实践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条件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实践教学环境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实践教学条件能很好满足教学要求。</w:t>
            </w:r>
          </w:p>
        </w:tc>
        <w:tc>
          <w:tcPr>
            <w:tcW w:w="353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1" w:type="pct"/>
            <w:vMerge/>
            <w:shd w:val="clear" w:color="auto" w:fill="FFFFFF"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31F7" w:rsidRPr="00883BEE" w:rsidTr="00AF772F">
        <w:trPr>
          <w:trHeight w:val="1260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3-3</w:t>
            </w:r>
          </w:p>
          <w:p w:rsidR="008318CB" w:rsidRDefault="008318CB" w:rsidP="00883BE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智慧</w:t>
            </w:r>
          </w:p>
          <w:p w:rsidR="008318CB" w:rsidRDefault="008318CB" w:rsidP="00883BE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318CB" w:rsidRDefault="008318CB" w:rsidP="00883BE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D474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技术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74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手段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74E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智慧教学平台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功能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0C87" w:rsidRDefault="008318CB" w:rsidP="003D474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课程网站运行良好，教学资源丰富，辅教、辅学功能齐全，并能有效共享。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具有学习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效果监测、分析、反馈等功能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318CB" w:rsidRPr="00883BEE" w:rsidRDefault="00630C87" w:rsidP="003D474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恰当充分地使用现代教育技术手段开展教学活动，提高教学效果方面取得实效。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9A07C0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  <w:r w:rsidR="008318CB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31F7" w:rsidRPr="00883BEE" w:rsidTr="00AF772F">
        <w:trPr>
          <w:trHeight w:val="1065"/>
          <w:jc w:val="center"/>
        </w:trPr>
        <w:tc>
          <w:tcPr>
            <w:tcW w:w="315" w:type="pct"/>
            <w:vMerge w:val="restar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方法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手段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4-1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</w:p>
          <w:p w:rsidR="008318CB" w:rsidRPr="00883BEE" w:rsidRDefault="009A07C0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过程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FA688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="00FA688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过程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设计</w:t>
            </w:r>
            <w:r w:rsidR="00630C8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="00630C87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0C87" w:rsidRDefault="00630C87" w:rsidP="00630C87">
            <w:pPr>
              <w:widowControl/>
              <w:spacing w:line="300" w:lineRule="atLeast"/>
              <w:ind w:firstLineChars="177" w:firstLine="425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以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学生为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中心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过程中充分开展研讨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互动</w:t>
            </w:r>
            <w:r w:rsidR="009A07C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；重视教学方法建设</w:t>
            </w:r>
            <w:r w:rsidR="009A07C0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，能灵活运用多种恰当的教学方法</w:t>
            </w:r>
            <w:r w:rsidR="009A07C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（如</w:t>
            </w:r>
            <w:r w:rsidR="009A07C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研讨式、案例式、讲座式等</w:t>
            </w:r>
            <w:r w:rsidR="009A07C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="009A07C0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9A07C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加强研究生</w:t>
            </w:r>
            <w:r w:rsidR="009A07C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创新性、批判性、颠覆性思维的培养</w:t>
            </w:r>
            <w:r w:rsidR="009A07C0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8318CB" w:rsidRDefault="008318CB" w:rsidP="00630C87">
            <w:pPr>
              <w:widowControl/>
              <w:spacing w:line="300" w:lineRule="atLeast"/>
              <w:ind w:firstLineChars="200" w:firstLine="48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重视探究性学习，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激发研究生</w:t>
            </w:r>
            <w:r w:rsidR="00630C8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潜能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的教育理念；能根据课程内容和研究生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特点，进行合理的教学设计（包括教学方法、教学手段等）。</w:t>
            </w:r>
          </w:p>
          <w:p w:rsidR="00630C87" w:rsidRDefault="00630C87" w:rsidP="00630C87">
            <w:pPr>
              <w:widowControl/>
              <w:spacing w:line="300" w:lineRule="atLeast"/>
              <w:ind w:firstLineChars="200" w:firstLine="48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专业课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学习过程中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批判性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、颠覆性、创新性的发问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，并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付诸</w:t>
            </w:r>
            <w:r w:rsidRPr="00E21F0C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研讨、</w:t>
            </w:r>
            <w:r w:rsidRPr="00E21F0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动手实践。</w:t>
            </w:r>
          </w:p>
          <w:p w:rsidR="00630C87" w:rsidRPr="00922854" w:rsidRDefault="00630C87" w:rsidP="009A07C0">
            <w:pPr>
              <w:widowControl/>
              <w:spacing w:line="300" w:lineRule="atLeast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教学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过程中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有研究生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学习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效果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的监测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，教学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的改进改革建设，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优秀拔尖研究生的交流情况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318CB" w:rsidRPr="00883BEE" w:rsidTr="00AF772F">
        <w:trPr>
          <w:trHeight w:val="1065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4-2</w:t>
            </w:r>
          </w:p>
          <w:p w:rsidR="008318CB" w:rsidRPr="00883BEE" w:rsidRDefault="009A07C0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课程考核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630C87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考核方式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设计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0C87" w:rsidRDefault="00630C87" w:rsidP="00630C87">
            <w:pPr>
              <w:widowControl/>
              <w:spacing w:line="300" w:lineRule="atLeast"/>
              <w:ind w:firstLineChars="200" w:firstLine="48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有课程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学习效果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宣传展示。</w:t>
            </w:r>
          </w:p>
          <w:p w:rsidR="00630C87" w:rsidRDefault="00630C87" w:rsidP="00630C87">
            <w:pPr>
              <w:widowControl/>
              <w:spacing w:line="300" w:lineRule="atLeast"/>
              <w:ind w:firstLineChars="200" w:firstLine="48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专业课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</w:t>
            </w:r>
            <w:r w:rsidRPr="004F2D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  <w:r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考核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体现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目标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达成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以研究性结果（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如设计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、</w:t>
            </w:r>
            <w:r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作品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论文等</w:t>
            </w:r>
            <w:r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作为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成绩评定主要依据</w:t>
            </w:r>
            <w:r w:rsidRPr="004F2D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评分标准</w:t>
            </w:r>
            <w:r w:rsidRPr="004F2D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紧扣思维</w:t>
            </w:r>
            <w:r w:rsidRPr="004F2DF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能力、创新素质。</w:t>
            </w:r>
          </w:p>
          <w:p w:rsidR="008318CB" w:rsidRPr="00883BEE" w:rsidRDefault="00630C87" w:rsidP="00630C87">
            <w:pPr>
              <w:widowControl/>
              <w:spacing w:line="300" w:lineRule="atLeast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基础课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：课程考核以知识的科研运用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为主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，评分标准</w:t>
            </w:r>
            <w:r w:rsidRPr="003C27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紧扣思维</w:t>
            </w:r>
            <w:r w:rsidRPr="003C2740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能力、创新素质。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D7620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31F7" w:rsidRPr="00883BEE" w:rsidTr="001129F4">
        <w:trPr>
          <w:trHeight w:val="699"/>
          <w:jc w:val="center"/>
        </w:trPr>
        <w:tc>
          <w:tcPr>
            <w:tcW w:w="315" w:type="pct"/>
            <w:vMerge w:val="restar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效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果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="00AF772F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5-1</w:t>
            </w:r>
          </w:p>
          <w:p w:rsidR="008318CB" w:rsidRPr="00883BEE" w:rsidRDefault="00AF772F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教学</w:t>
            </w:r>
          </w:p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085BA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专家评价</w:t>
            </w:r>
            <w:r w:rsidR="00AF772F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与</w:t>
            </w:r>
            <w:r w:rsidR="00AF772F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</w:t>
            </w:r>
            <w:r w:rsidR="00AF772F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lastRenderedPageBreak/>
              <w:t>究生评教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085BAD" w:rsidP="00AF772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各类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专家</w:t>
            </w:r>
            <w:r w:rsidR="008318CB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评价优秀</w:t>
            </w:r>
            <w:r w:rsidR="00AF772F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AF772F" w:rsidRPr="00085BA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选课</w:t>
            </w:r>
            <w:r w:rsidR="00AF772F" w:rsidRPr="00085BAD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研究生</w:t>
            </w:r>
            <w:r w:rsidR="00AF772F" w:rsidRPr="00085BA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评价</w:t>
            </w:r>
            <w:r w:rsidR="00AF772F" w:rsidRPr="00085BAD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优秀</w:t>
            </w:r>
            <w:r w:rsidR="00AF772F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AF772F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="008318CB"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AF772F" w:rsidRPr="00883BEE" w:rsidTr="00AF772F">
        <w:trPr>
          <w:trHeight w:val="1065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AF772F" w:rsidRPr="00883BEE" w:rsidRDefault="00AF772F" w:rsidP="00AF772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F772F" w:rsidRPr="00883BEE" w:rsidRDefault="00AF772F" w:rsidP="00AF772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5-2</w:t>
            </w:r>
          </w:p>
          <w:p w:rsidR="00AF772F" w:rsidRPr="00883BEE" w:rsidRDefault="00AF772F" w:rsidP="00AF772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声誉</w:t>
            </w:r>
          </w:p>
        </w:tc>
        <w:tc>
          <w:tcPr>
            <w:tcW w:w="511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F772F" w:rsidRPr="00AF772F" w:rsidRDefault="00AF772F" w:rsidP="00AF772F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AF772F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校内外</w:t>
            </w:r>
            <w:r w:rsidRPr="00AF772F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声誉</w:t>
            </w:r>
          </w:p>
        </w:tc>
        <w:tc>
          <w:tcPr>
            <w:tcW w:w="3125" w:type="pc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F772F" w:rsidRPr="00883BEE" w:rsidRDefault="00AF772F" w:rsidP="00AF772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校内外有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较大的知名度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有良好声誉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AF772F" w:rsidRPr="00883BEE" w:rsidRDefault="00AF772F" w:rsidP="00AF772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AF772F" w:rsidRPr="00883BEE" w:rsidRDefault="00AF772F" w:rsidP="00AF772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318CB" w:rsidRPr="00883BEE" w:rsidTr="00AF772F">
        <w:trPr>
          <w:trHeight w:val="1035"/>
          <w:jc w:val="center"/>
        </w:trPr>
        <w:tc>
          <w:tcPr>
            <w:tcW w:w="315" w:type="pct"/>
            <w:vMerge w:val="restart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特色、政策支持及辐射共享</w:t>
            </w:r>
          </w:p>
        </w:tc>
        <w:tc>
          <w:tcPr>
            <w:tcW w:w="3951" w:type="pct"/>
            <w:gridSpan w:val="3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E02B36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国内外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课程</w:t>
            </w:r>
            <w:r w:rsidR="00E02B3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优劣势的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对标分析</w:t>
            </w:r>
            <w:r w:rsidR="00E02B3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，自编</w:t>
            </w:r>
            <w:r w:rsidR="00E02B3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教材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318CB" w:rsidRPr="00883BEE" w:rsidTr="00AF772F">
        <w:trPr>
          <w:trHeight w:val="900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951" w:type="pct"/>
            <w:gridSpan w:val="3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1C574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所在学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院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支持鼓励精品课程建设的政策措施得力。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318CB" w:rsidRPr="00883BEE" w:rsidTr="00AF772F">
        <w:trPr>
          <w:trHeight w:val="900"/>
          <w:jc w:val="center"/>
        </w:trPr>
        <w:tc>
          <w:tcPr>
            <w:tcW w:w="315" w:type="pct"/>
            <w:vMerge/>
            <w:shd w:val="clear" w:color="auto" w:fill="FFFFFF"/>
            <w:vAlign w:val="center"/>
            <w:hideMark/>
          </w:tcPr>
          <w:p w:rsidR="008318CB" w:rsidRPr="00883BEE" w:rsidRDefault="008318CB" w:rsidP="00883BE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951" w:type="pct"/>
            <w:gridSpan w:val="3"/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318CB" w:rsidRPr="00883BEE" w:rsidRDefault="008318CB" w:rsidP="008045C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辐射共享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示范引领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效果突出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，未来建设计划可行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（如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上线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国内外知名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网站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且选学人数较多</w:t>
            </w:r>
            <w:r w:rsidR="00E02B3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E02B36"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  <w:t>学习效果的展示</w:t>
            </w:r>
            <w:r w:rsidR="005A57E4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辐射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8318CB" w:rsidRPr="00883BEE" w:rsidRDefault="008318CB" w:rsidP="00883BE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883BE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  <w:r w:rsidRPr="00883BE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81" w:type="pct"/>
          </w:tcPr>
          <w:p w:rsidR="008318CB" w:rsidRPr="00883BEE" w:rsidRDefault="008318CB" w:rsidP="00883BE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EA6F19" w:rsidRDefault="00EA6F19" w:rsidP="008318C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sectPr w:rsidR="00EA6F19" w:rsidSect="006E37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0F" w:rsidRDefault="0065640F" w:rsidP="00354CBF">
      <w:r>
        <w:separator/>
      </w:r>
    </w:p>
  </w:endnote>
  <w:endnote w:type="continuationSeparator" w:id="0">
    <w:p w:rsidR="0065640F" w:rsidRDefault="0065640F" w:rsidP="0035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0F" w:rsidRDefault="0065640F" w:rsidP="00354CBF">
      <w:r>
        <w:separator/>
      </w:r>
    </w:p>
  </w:footnote>
  <w:footnote w:type="continuationSeparator" w:id="0">
    <w:p w:rsidR="0065640F" w:rsidRDefault="0065640F" w:rsidP="0035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F3"/>
    <w:rsid w:val="00002AB4"/>
    <w:rsid w:val="00042D00"/>
    <w:rsid w:val="00065516"/>
    <w:rsid w:val="000824BE"/>
    <w:rsid w:val="00085BAD"/>
    <w:rsid w:val="000A171A"/>
    <w:rsid w:val="000B44C9"/>
    <w:rsid w:val="000C5FBA"/>
    <w:rsid w:val="001129F4"/>
    <w:rsid w:val="001328CA"/>
    <w:rsid w:val="001C5743"/>
    <w:rsid w:val="001E3F5F"/>
    <w:rsid w:val="001E59BA"/>
    <w:rsid w:val="00200CA0"/>
    <w:rsid w:val="0024584E"/>
    <w:rsid w:val="002C751A"/>
    <w:rsid w:val="002F7242"/>
    <w:rsid w:val="00307AC9"/>
    <w:rsid w:val="00324A23"/>
    <w:rsid w:val="00354CBF"/>
    <w:rsid w:val="003C2740"/>
    <w:rsid w:val="003D474E"/>
    <w:rsid w:val="003F4490"/>
    <w:rsid w:val="004019DD"/>
    <w:rsid w:val="00430371"/>
    <w:rsid w:val="00430E75"/>
    <w:rsid w:val="00437C34"/>
    <w:rsid w:val="00454F14"/>
    <w:rsid w:val="004F2DF6"/>
    <w:rsid w:val="004F70F2"/>
    <w:rsid w:val="00500607"/>
    <w:rsid w:val="00507AE0"/>
    <w:rsid w:val="005413B4"/>
    <w:rsid w:val="00584A14"/>
    <w:rsid w:val="005A57E4"/>
    <w:rsid w:val="005C3D60"/>
    <w:rsid w:val="00603A1C"/>
    <w:rsid w:val="00630C87"/>
    <w:rsid w:val="00651E43"/>
    <w:rsid w:val="0065640F"/>
    <w:rsid w:val="006A3305"/>
    <w:rsid w:val="006E37B0"/>
    <w:rsid w:val="006F56D1"/>
    <w:rsid w:val="00743B5B"/>
    <w:rsid w:val="008045CA"/>
    <w:rsid w:val="008318CB"/>
    <w:rsid w:val="008574C1"/>
    <w:rsid w:val="00883BEE"/>
    <w:rsid w:val="008D6987"/>
    <w:rsid w:val="008E7982"/>
    <w:rsid w:val="008F6265"/>
    <w:rsid w:val="00922854"/>
    <w:rsid w:val="0093764D"/>
    <w:rsid w:val="009831F7"/>
    <w:rsid w:val="00987E01"/>
    <w:rsid w:val="009A07C0"/>
    <w:rsid w:val="009B0BF6"/>
    <w:rsid w:val="009C67E4"/>
    <w:rsid w:val="009E505A"/>
    <w:rsid w:val="00A174DB"/>
    <w:rsid w:val="00A201EB"/>
    <w:rsid w:val="00A55729"/>
    <w:rsid w:val="00AA24F3"/>
    <w:rsid w:val="00AC5A0A"/>
    <w:rsid w:val="00AE52B0"/>
    <w:rsid w:val="00AF4F2D"/>
    <w:rsid w:val="00AF772F"/>
    <w:rsid w:val="00B0556B"/>
    <w:rsid w:val="00B27C5F"/>
    <w:rsid w:val="00B620EE"/>
    <w:rsid w:val="00B9276D"/>
    <w:rsid w:val="00C31F8C"/>
    <w:rsid w:val="00C36524"/>
    <w:rsid w:val="00C611B0"/>
    <w:rsid w:val="00CA2BF1"/>
    <w:rsid w:val="00CA6665"/>
    <w:rsid w:val="00CC7461"/>
    <w:rsid w:val="00D25335"/>
    <w:rsid w:val="00D27ACE"/>
    <w:rsid w:val="00D633B0"/>
    <w:rsid w:val="00D64AB5"/>
    <w:rsid w:val="00D76208"/>
    <w:rsid w:val="00D8268E"/>
    <w:rsid w:val="00DA2575"/>
    <w:rsid w:val="00DB2933"/>
    <w:rsid w:val="00E02B36"/>
    <w:rsid w:val="00E21F0C"/>
    <w:rsid w:val="00E96D7E"/>
    <w:rsid w:val="00EA4FE5"/>
    <w:rsid w:val="00EA6F19"/>
    <w:rsid w:val="00F07929"/>
    <w:rsid w:val="00F11752"/>
    <w:rsid w:val="00F4667B"/>
    <w:rsid w:val="00FA2E6E"/>
    <w:rsid w:val="00FA6887"/>
    <w:rsid w:val="00FB0690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B07E"/>
  <w15:chartTrackingRefBased/>
  <w15:docId w15:val="{1E34353B-30DD-4DCA-A610-9CA1CB02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3BEE"/>
    <w:rPr>
      <w:b/>
      <w:bCs/>
    </w:rPr>
  </w:style>
  <w:style w:type="paragraph" w:styleId="a5">
    <w:name w:val="header"/>
    <w:basedOn w:val="a"/>
    <w:link w:val="a6"/>
    <w:uiPriority w:val="99"/>
    <w:unhideWhenUsed/>
    <w:rsid w:val="00354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4C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4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4CB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54CB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54CBF"/>
    <w:rPr>
      <w:sz w:val="18"/>
      <w:szCs w:val="18"/>
    </w:rPr>
  </w:style>
  <w:style w:type="character" w:styleId="ab">
    <w:name w:val="Subtle Emphasis"/>
    <w:basedOn w:val="a0"/>
    <w:uiPriority w:val="19"/>
    <w:qFormat/>
    <w:rsid w:val="00D253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Chen Chanming</cp:lastModifiedBy>
  <cp:revision>3</cp:revision>
  <cp:lastPrinted>2019-01-04T07:05:00Z</cp:lastPrinted>
  <dcterms:created xsi:type="dcterms:W3CDTF">2019-01-12T09:53:00Z</dcterms:created>
  <dcterms:modified xsi:type="dcterms:W3CDTF">2019-01-22T02:10:00Z</dcterms:modified>
</cp:coreProperties>
</file>