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746A5">
      <w:pPr>
        <w:jc w:val="center"/>
        <w:rPr>
          <w:rFonts w:ascii="微软雅黑" w:hAnsi="微软雅黑" w:eastAsia="微软雅黑" w:cs="微软雅黑"/>
          <w:i w:val="0"/>
          <w:iCs w:val="0"/>
          <w:caps w:val="0"/>
          <w:color w:val="333333"/>
          <w:spacing w:val="0"/>
          <w:sz w:val="28"/>
          <w:szCs w:val="28"/>
          <w:shd w:val="clear" w:fill="FFFFFF"/>
        </w:rPr>
      </w:pPr>
      <w:r>
        <w:rPr>
          <w:rFonts w:ascii="微软雅黑" w:hAnsi="微软雅黑" w:eastAsia="微软雅黑" w:cs="微软雅黑"/>
          <w:i w:val="0"/>
          <w:iCs w:val="0"/>
          <w:caps w:val="0"/>
          <w:color w:val="333333"/>
          <w:spacing w:val="0"/>
          <w:sz w:val="28"/>
          <w:szCs w:val="28"/>
          <w:shd w:val="clear" w:fill="FFFFFF"/>
        </w:rPr>
        <w:t>关于举办“兆易创新杯” 第二十届中国研究生电子设计竞赛的通知</w:t>
      </w:r>
    </w:p>
    <w:p w14:paraId="219E4031">
      <w:pPr>
        <w:pStyle w:val="2"/>
        <w:keepNext w:val="0"/>
        <w:keepLines w:val="0"/>
        <w:widowControl/>
        <w:suppressLineNumbers w:val="0"/>
        <w:shd w:val="clear" w:fill="FFFFFF"/>
        <w:spacing w:before="0" w:beforeAutospacing="0" w:after="120" w:afterAutospacing="0"/>
        <w:ind w:left="0" w:right="0" w:firstLine="0"/>
        <w:jc w:val="both"/>
        <w:rPr>
          <w:rFonts w:ascii="微软雅黑" w:hAnsi="微软雅黑" w:eastAsia="微软雅黑" w:cs="微软雅黑"/>
          <w:i w:val="0"/>
          <w:iCs w:val="0"/>
          <w:caps w:val="0"/>
          <w:color w:val="333333"/>
          <w:spacing w:val="0"/>
          <w:sz w:val="19"/>
          <w:szCs w:val="19"/>
        </w:rPr>
      </w:pPr>
      <w:r>
        <w:rPr>
          <w:rFonts w:ascii="微软雅黑" w:hAnsi="微软雅黑" w:eastAsia="微软雅黑" w:cs="微软雅黑"/>
          <w:i w:val="0"/>
          <w:iCs w:val="0"/>
          <w:caps w:val="0"/>
          <w:color w:val="333333"/>
          <w:spacing w:val="0"/>
          <w:sz w:val="32"/>
          <w:szCs w:val="32"/>
          <w:shd w:val="clear" w:fill="FFFFFF"/>
        </w:rPr>
        <w:t>各研究生培养单位：</w:t>
      </w:r>
    </w:p>
    <w:p w14:paraId="5DF2C14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为进一步推进研究生培养机制改革，提高研究生创新实践能力，促进产学研深度融合，根据“中国研究生创新实践系列大赛”工作安排，现将“兆易创新杯”第二十届中国研究生电子设计竞赛有关情况通知如下：</w:t>
      </w:r>
    </w:p>
    <w:p w14:paraId="4FA3655F">
      <w:pPr>
        <w:pStyle w:val="2"/>
        <w:keepNext w:val="0"/>
        <w:keepLines w:val="0"/>
        <w:widowControl/>
        <w:suppressLineNumbers w:val="0"/>
        <w:shd w:val="clear" w:fill="FFFFFF"/>
        <w:spacing w:before="0" w:beforeAutospacing="0" w:after="120" w:afterAutospacing="0"/>
        <w:ind w:left="0" w:right="0" w:firstLine="33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0"/>
          <w:sz w:val="25"/>
          <w:szCs w:val="25"/>
          <w:shd w:val="clear" w:fill="FFFFFF"/>
        </w:rPr>
        <w:t>一、相关背景</w:t>
      </w:r>
    </w:p>
    <w:p w14:paraId="4AE5320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研究生创新实践系列大赛”旨在以研究生培养机制改革为契机，以行业需求为导向，以提升研究生创新实践能力为核心，以提高研究生培养质量为目标，打造校企合作创新平台，营造研究生创新良好氛围，促进我国研究生教育发展水平与服务支撑能力的全面提升。</w:t>
      </w:r>
    </w:p>
    <w:p w14:paraId="7D9E334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研究生电子设计竞赛于1996年由中国电子学会与清华大学共同发起，至今已成功举办二十九年。竞赛始终秉承“激励创新、鼓励创业、提高素质、强化实践”的宗旨。经过近30年的发展，竞赛已经成为电子类相关学科研究生培养创新创业意识、增强团队精神、提升实践能力、促进青年创新创业人才全面成长的有效平台。</w:t>
      </w:r>
    </w:p>
    <w:p w14:paraId="185AAFAA">
      <w:pPr>
        <w:pStyle w:val="2"/>
        <w:keepNext w:val="0"/>
        <w:keepLines w:val="0"/>
        <w:widowControl/>
        <w:suppressLineNumbers w:val="0"/>
        <w:shd w:val="clear" w:fill="FFFFFF"/>
        <w:spacing w:before="0" w:beforeAutospacing="0" w:after="120" w:afterAutospacing="0"/>
        <w:ind w:left="0" w:right="0" w:firstLine="33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0"/>
          <w:sz w:val="32"/>
          <w:szCs w:val="32"/>
          <w:shd w:val="clear" w:fill="FFFFFF"/>
        </w:rPr>
        <w:t>二、组织结构</w:t>
      </w:r>
    </w:p>
    <w:p w14:paraId="4BE800A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中国研究生电子设计竞赛由教育部学位管理与研究生教育司指导，中国学位与研究生教育学会、中国科协青少年科技中心、中国电子学会共同主办，秘书处设在中国电子学会。</w:t>
      </w:r>
    </w:p>
    <w:p w14:paraId="7030F57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兆易创新杯”第二十届中国研究生电子设计竞赛分为初赛、决赛两级赛事，初赛在全国划分八大赛区，东北、华北、西北、华中、华东、上海、西南、华南分赛区，分别由由大连理工大学、北京信息科技大学、西安电子科技大学、长沙理工大学、厦门大学、上海市电子学会、上海师范大学、西南科技大学、海南大学承办。“光载信息”专项赛由清华大学深圳国际研究生院承办；商业计划书专项赛由上海新微科技发展有限公司承办。</w:t>
      </w:r>
    </w:p>
    <w:p w14:paraId="54E901AD">
      <w:pPr>
        <w:pStyle w:val="2"/>
        <w:keepNext w:val="0"/>
        <w:keepLines w:val="0"/>
        <w:widowControl/>
        <w:suppressLineNumbers w:val="0"/>
        <w:shd w:val="clear" w:fill="FFFFFF"/>
        <w:spacing w:before="0" w:beforeAutospacing="0" w:after="120" w:afterAutospacing="0"/>
        <w:ind w:left="0" w:right="0" w:firstLine="33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0"/>
          <w:sz w:val="32"/>
          <w:szCs w:val="32"/>
          <w:shd w:val="clear" w:fill="FFFFFF"/>
        </w:rPr>
        <w:t>三、参赛对象</w:t>
      </w:r>
    </w:p>
    <w:p w14:paraId="391110C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中国高校在读研究生和已获得研究生入学资格的大四本科生。</w:t>
      </w:r>
    </w:p>
    <w:p w14:paraId="27F99D33">
      <w:pPr>
        <w:pStyle w:val="2"/>
        <w:keepNext w:val="0"/>
        <w:keepLines w:val="0"/>
        <w:widowControl/>
        <w:suppressLineNumbers w:val="0"/>
        <w:shd w:val="clear" w:fill="FFFFFF"/>
        <w:spacing w:before="0" w:beforeAutospacing="0" w:after="120" w:afterAutospacing="0"/>
        <w:ind w:left="0" w:right="0" w:firstLine="33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0"/>
          <w:sz w:val="25"/>
          <w:szCs w:val="25"/>
          <w:shd w:val="clear" w:fill="FFFFFF"/>
        </w:rPr>
        <w:t>四、赛事相关事宜</w:t>
      </w:r>
    </w:p>
    <w:p w14:paraId="7897146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兆易创新杯”第二十届中国研究生电子设计竞赛于2025年3月正式开赛，6月20日报名与作品提交截止，初赛7月举行，决赛8月举行，具体时间将提前通过官方平台通知。请各培养单位提前安排竞赛动员部署和参赛队伍选题工作。</w:t>
      </w:r>
    </w:p>
    <w:p w14:paraId="3A65DB7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本届竞赛赛程赛制较往届基本保持不变，分为技术竞赛和商业计划书专项赛两大部分。技术竞赛采用企业命题和开放命题相结合的方式进行，并新设立“光载信息”专项赛。兆易创新、华为、小米、无问芯穹、飞腾、优利德、算能、TI、新思科技、MathWorks等企业设置企业命题或专项奖，联想作为合作伙伴为竞赛提供支持。</w:t>
      </w:r>
    </w:p>
    <w:p w14:paraId="2235EC1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光载信息”专项赛作为技术竞赛的一部分，可与开放赛道或企业赛道同时报名。企业命题排名前20%的优秀团队将推荐入围全国总决赛现场，其中入围决赛排名前50%的企业命题团队，按技术竞赛比例获得全国总决赛团队奖项。</w:t>
      </w:r>
    </w:p>
    <w:p w14:paraId="204DD17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本届竞赛将继续严格落实匿名评审要求，并根据往届参赛数据建立论文库并查重，鼓励研究生培养单位积极申报、组织校级选拔赛，并由中国电子学会发放校级选拔赛获奖证书。具体实施办法与相关事宜详见竞赛官方网站：</w:t>
      </w:r>
      <w:r>
        <w:rPr>
          <w:rFonts w:ascii="Calibri" w:hAnsi="Calibri" w:eastAsia="微软雅黑" w:cs="Calibri"/>
          <w:i w:val="0"/>
          <w:iCs w:val="0"/>
          <w:caps w:val="0"/>
          <w:color w:val="1890FF"/>
          <w:spacing w:val="0"/>
          <w:sz w:val="21"/>
          <w:szCs w:val="21"/>
          <w:u w:val="none"/>
          <w:shd w:val="clear" w:fill="FFFFFF"/>
        </w:rPr>
        <w:fldChar w:fldCharType="begin"/>
      </w:r>
      <w:r>
        <w:rPr>
          <w:rFonts w:ascii="Calibri" w:hAnsi="Calibri" w:eastAsia="微软雅黑" w:cs="Calibri"/>
          <w:i w:val="0"/>
          <w:iCs w:val="0"/>
          <w:caps w:val="0"/>
          <w:color w:val="1890FF"/>
          <w:spacing w:val="0"/>
          <w:sz w:val="21"/>
          <w:szCs w:val="21"/>
          <w:u w:val="none"/>
          <w:shd w:val="clear" w:fill="FFFFFF"/>
        </w:rPr>
        <w:instrText xml:space="preserve"> HYPERLINK "https://cpipc.acge./" </w:instrText>
      </w:r>
      <w:r>
        <w:rPr>
          <w:rFonts w:ascii="Calibri" w:hAnsi="Calibri" w:eastAsia="微软雅黑" w:cs="Calibri"/>
          <w:i w:val="0"/>
          <w:iCs w:val="0"/>
          <w:caps w:val="0"/>
          <w:color w:val="1890FF"/>
          <w:spacing w:val="0"/>
          <w:sz w:val="21"/>
          <w:szCs w:val="21"/>
          <w:u w:val="none"/>
          <w:shd w:val="clear" w:fill="FFFFFF"/>
        </w:rPr>
        <w:fldChar w:fldCharType="separate"/>
      </w:r>
      <w:r>
        <w:rPr>
          <w:rStyle w:val="6"/>
          <w:rFonts w:hint="eastAsia" w:ascii="微软雅黑" w:hAnsi="微软雅黑" w:eastAsia="微软雅黑" w:cs="微软雅黑"/>
          <w:i w:val="0"/>
          <w:iCs w:val="0"/>
          <w:caps w:val="0"/>
          <w:color w:val="1890FF"/>
          <w:spacing w:val="0"/>
          <w:sz w:val="32"/>
          <w:szCs w:val="32"/>
          <w:u w:val="none"/>
          <w:shd w:val="clear" w:fill="FFFFFF"/>
        </w:rPr>
        <w:t>https://cpipc.acge.</w:t>
      </w:r>
      <w:r>
        <w:rPr>
          <w:rFonts w:hint="default" w:ascii="Calibri" w:hAnsi="Calibri" w:eastAsia="微软雅黑" w:cs="Calibri"/>
          <w:i w:val="0"/>
          <w:iCs w:val="0"/>
          <w:caps w:val="0"/>
          <w:color w:val="1890FF"/>
          <w:spacing w:val="0"/>
          <w:sz w:val="21"/>
          <w:szCs w:val="21"/>
          <w:u w:val="none"/>
          <w:shd w:val="clear" w:fill="FFFFFF"/>
        </w:rPr>
        <w:fldChar w:fldCharType="end"/>
      </w:r>
      <w:r>
        <w:rPr>
          <w:rFonts w:hint="eastAsia" w:ascii="微软雅黑" w:hAnsi="微软雅黑" w:eastAsia="微软雅黑" w:cs="微软雅黑"/>
          <w:i w:val="0"/>
          <w:iCs w:val="0"/>
          <w:caps w:val="0"/>
          <w:color w:val="333333"/>
          <w:spacing w:val="0"/>
          <w:sz w:val="32"/>
          <w:szCs w:val="32"/>
          <w:shd w:val="clear" w:fill="FFFFFF"/>
        </w:rPr>
        <w:t>org.cn/。</w:t>
      </w:r>
    </w:p>
    <w:p w14:paraId="4C676DA3">
      <w:pPr>
        <w:pStyle w:val="2"/>
        <w:keepNext w:val="0"/>
        <w:keepLines w:val="0"/>
        <w:widowControl/>
        <w:suppressLineNumbers w:val="0"/>
        <w:shd w:val="clear" w:fill="FFFFFF"/>
        <w:spacing w:before="0" w:beforeAutospacing="0" w:after="12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14:paraId="6C96259F">
      <w:pPr>
        <w:pStyle w:val="2"/>
        <w:keepNext w:val="0"/>
        <w:keepLines w:val="0"/>
        <w:widowControl/>
        <w:suppressLineNumbers w:val="0"/>
        <w:shd w:val="clear" w:fill="FFFFFF"/>
        <w:spacing w:before="0" w:beforeAutospacing="0" w:after="120" w:afterAutospacing="0"/>
        <w:ind w:left="0" w:right="0" w:firstLine="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14:paraId="252ED62D">
      <w:pPr>
        <w:pStyle w:val="2"/>
        <w:keepNext w:val="0"/>
        <w:keepLines w:val="0"/>
        <w:widowControl/>
        <w:suppressLineNumbers w:val="0"/>
        <w:shd w:val="clear" w:fill="FFFFFF"/>
        <w:spacing w:before="0" w:beforeAutospacing="0" w:after="120" w:afterAutospacing="0"/>
        <w:ind w:left="0" w:right="0" w:firstLine="3158"/>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中国研究生电子设计竞赛组委会</w:t>
      </w:r>
    </w:p>
    <w:p w14:paraId="4C236FCD">
      <w:pPr>
        <w:pStyle w:val="2"/>
        <w:keepNext w:val="0"/>
        <w:keepLines w:val="0"/>
        <w:widowControl/>
        <w:suppressLineNumbers w:val="0"/>
        <w:shd w:val="clear" w:fill="FFFFFF"/>
        <w:spacing w:before="0" w:beforeAutospacing="0" w:after="120" w:afterAutospacing="0"/>
        <w:ind w:left="0" w:right="0" w:firstLine="3158"/>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2025年3月26日</w:t>
      </w:r>
    </w:p>
    <w:p w14:paraId="518E2AD7">
      <w:pPr>
        <w:jc w:val="center"/>
        <w:rPr>
          <w:rFonts w:ascii="微软雅黑" w:hAnsi="微软雅黑" w:eastAsia="微软雅黑" w:cs="微软雅黑"/>
          <w:i w:val="0"/>
          <w:iCs w:val="0"/>
          <w:caps w:val="0"/>
          <w:color w:val="333333"/>
          <w:spacing w:val="0"/>
          <w:sz w:val="28"/>
          <w:szCs w:val="28"/>
          <w:shd w:val="clear" w:fill="FFFFFF"/>
        </w:rPr>
      </w:pPr>
      <w:bookmarkStart w:id="0" w:name="_GoBack"/>
      <w:bookmarkEnd w:id="0"/>
    </w:p>
    <w:p w14:paraId="4969B0A3">
      <w:pPr>
        <w:jc w:val="center"/>
        <w:rPr>
          <w:rFonts w:ascii="微软雅黑" w:hAnsi="微软雅黑" w:eastAsia="微软雅黑" w:cs="微软雅黑"/>
          <w:i w:val="0"/>
          <w:iCs w:val="0"/>
          <w:caps w:val="0"/>
          <w:color w:val="333333"/>
          <w:spacing w:val="0"/>
          <w:sz w:val="28"/>
          <w:szCs w:val="28"/>
          <w:shd w:val="clear" w:fill="FFFFFF"/>
        </w:rPr>
      </w:pPr>
    </w:p>
    <w:p w14:paraId="177E1C59">
      <w:pPr>
        <w:jc w:val="center"/>
        <w:rPr>
          <w:rFonts w:ascii="微软雅黑" w:hAnsi="微软雅黑" w:eastAsia="微软雅黑" w:cs="微软雅黑"/>
          <w:i w:val="0"/>
          <w:iCs w:val="0"/>
          <w:caps w:val="0"/>
          <w:color w:val="333333"/>
          <w:spacing w:val="0"/>
          <w:sz w:val="28"/>
          <w:szCs w:val="28"/>
          <w:shd w:val="clear" w:fill="FFFFFF"/>
        </w:rPr>
      </w:pPr>
    </w:p>
    <w:p w14:paraId="5B88AA94">
      <w:pPr>
        <w:jc w:val="center"/>
        <w:rPr>
          <w:rFonts w:ascii="微软雅黑" w:hAnsi="微软雅黑" w:eastAsia="微软雅黑" w:cs="微软雅黑"/>
          <w:i w:val="0"/>
          <w:iCs w:val="0"/>
          <w:caps w:val="0"/>
          <w:color w:val="333333"/>
          <w:spacing w:val="0"/>
          <w:sz w:val="28"/>
          <w:szCs w:val="28"/>
          <w:shd w:val="clear" w:fill="FFFFFF"/>
        </w:rPr>
      </w:pPr>
    </w:p>
    <w:p w14:paraId="5A348DFB">
      <w:pPr>
        <w:jc w:val="center"/>
        <w:rPr>
          <w:rFonts w:ascii="微软雅黑" w:hAnsi="微软雅黑" w:eastAsia="微软雅黑" w:cs="微软雅黑"/>
          <w:i w:val="0"/>
          <w:iCs w:val="0"/>
          <w:caps w:val="0"/>
          <w:color w:val="333333"/>
          <w:spacing w:val="0"/>
          <w:sz w:val="28"/>
          <w:szCs w:val="28"/>
          <w:shd w:val="clear" w:fill="FFFFFF"/>
        </w:rPr>
      </w:pPr>
      <w:r>
        <w:rPr>
          <w:rFonts w:ascii="微软雅黑" w:hAnsi="微软雅黑" w:eastAsia="微软雅黑" w:cs="微软雅黑"/>
          <w:i w:val="0"/>
          <w:iCs w:val="0"/>
          <w:caps w:val="0"/>
          <w:color w:val="333333"/>
          <w:spacing w:val="0"/>
          <w:sz w:val="28"/>
          <w:szCs w:val="28"/>
          <w:shd w:val="clear" w:fill="FFFFFF"/>
        </w:rPr>
        <w:t>“兆易创新杯”第二十届研究生电子设计竞赛参赛说明</w:t>
      </w:r>
    </w:p>
    <w:p w14:paraId="49532AD5">
      <w:pPr>
        <w:pStyle w:val="2"/>
        <w:keepNext w:val="0"/>
        <w:keepLines w:val="0"/>
        <w:widowControl/>
        <w:suppressLineNumbers w:val="0"/>
        <w:shd w:val="clear" w:fill="FFFFFF"/>
        <w:spacing w:before="0" w:beforeAutospacing="0" w:after="120" w:afterAutospacing="0"/>
        <w:ind w:left="0" w:right="0" w:firstLine="616"/>
        <w:jc w:val="both"/>
        <w:rPr>
          <w:rFonts w:ascii="微软雅黑" w:hAnsi="微软雅黑" w:eastAsia="微软雅黑" w:cs="微软雅黑"/>
          <w:i w:val="0"/>
          <w:iCs w:val="0"/>
          <w:caps w:val="0"/>
          <w:color w:val="333333"/>
          <w:spacing w:val="0"/>
          <w:sz w:val="19"/>
          <w:szCs w:val="19"/>
        </w:rPr>
      </w:pPr>
      <w:r>
        <w:rPr>
          <w:rStyle w:val="5"/>
          <w:rFonts w:ascii="微软雅黑" w:hAnsi="微软雅黑" w:eastAsia="微软雅黑" w:cs="微软雅黑"/>
          <w:b/>
          <w:bCs/>
          <w:i w:val="0"/>
          <w:iCs w:val="0"/>
          <w:caps w:val="0"/>
          <w:color w:val="333333"/>
          <w:spacing w:val="-6"/>
          <w:sz w:val="32"/>
          <w:szCs w:val="32"/>
          <w:shd w:val="clear" w:fill="FFFFFF"/>
        </w:rPr>
        <w:t>一、</w:t>
      </w:r>
      <w:r>
        <w:rPr>
          <w:rStyle w:val="5"/>
          <w:rFonts w:hint="eastAsia" w:ascii="微软雅黑" w:hAnsi="微软雅黑" w:eastAsia="微软雅黑" w:cs="微软雅黑"/>
          <w:b/>
          <w:bCs/>
          <w:i w:val="0"/>
          <w:iCs w:val="0"/>
          <w:caps w:val="0"/>
          <w:color w:val="333333"/>
          <w:spacing w:val="-6"/>
          <w:sz w:val="32"/>
          <w:szCs w:val="32"/>
          <w:shd w:val="clear" w:fill="FFFFFF"/>
        </w:rPr>
        <w:t>竞赛时间</w:t>
      </w:r>
    </w:p>
    <w:p w14:paraId="09B608BD">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开赛时间：2025年3月</w:t>
      </w:r>
    </w:p>
    <w:p w14:paraId="0959569B">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报名截止：2025年6月20日</w:t>
      </w:r>
    </w:p>
    <w:p w14:paraId="664CB0E1">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初赛、决赛时间：预计7月初举办初赛，8月中旬举办全国总决赛。</w:t>
      </w:r>
    </w:p>
    <w:p w14:paraId="7044B017">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二、赛区划分 </w:t>
      </w:r>
    </w:p>
    <w:p w14:paraId="392A9EF6">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第二十届中国研究生电子设计竞赛全国划分八大赛区：</w:t>
      </w:r>
    </w:p>
    <w:p w14:paraId="528DD288">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东北分赛区：黑龙江省、吉林省、辽宁省</w:t>
      </w:r>
    </w:p>
    <w:p w14:paraId="76819FC5">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华北分赛区：北京市、天津市、河北省、山东省、山西省、内蒙古自治区</w:t>
      </w:r>
    </w:p>
    <w:p w14:paraId="5D2E9735">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西北分赛区：陕西省、甘肃省、青海省、宁夏回族自治区、新疆维吾尔自治区</w:t>
      </w:r>
    </w:p>
    <w:p w14:paraId="69C9BDE7">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华中分赛区：湖北省、湖南省、河南省、江西省</w:t>
      </w:r>
    </w:p>
    <w:p w14:paraId="4A99B979">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华东分赛区：江苏省、安徽省、浙江省、福建省、台湾地区</w:t>
      </w:r>
    </w:p>
    <w:p w14:paraId="626A5895">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上海分赛区：上海市</w:t>
      </w:r>
    </w:p>
    <w:p w14:paraId="06ED66A4">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华南分赛区：广东省、广西壮族自治区、海南省、香港特别行政区、澳门特别行政区</w:t>
      </w:r>
    </w:p>
    <w:p w14:paraId="286F1A46">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西南分赛区：四川省、重庆市、贵州省、云南省、西藏自治区</w:t>
      </w:r>
    </w:p>
    <w:p w14:paraId="6B14DD22">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三、组织机构</w:t>
      </w:r>
    </w:p>
    <w:p w14:paraId="1675D1B5">
      <w:pPr>
        <w:pStyle w:val="2"/>
        <w:keepNext w:val="0"/>
        <w:keepLines w:val="0"/>
        <w:widowControl/>
        <w:suppressLineNumbers w:val="0"/>
        <w:shd w:val="clear" w:fill="FFFFFF"/>
        <w:spacing w:before="0" w:beforeAutospacing="0" w:after="120" w:afterAutospacing="0"/>
        <w:ind w:left="0" w:right="0" w:firstLine="616"/>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5"/>
          <w:sz w:val="25"/>
          <w:szCs w:val="25"/>
          <w:shd w:val="clear" w:fill="FFFFFF"/>
        </w:rPr>
        <w:t>指导单位：</w:t>
      </w:r>
    </w:p>
    <w:p w14:paraId="13FA909E">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教育部学位管理与研究生教育司</w:t>
      </w:r>
    </w:p>
    <w:p w14:paraId="638844E8">
      <w:pPr>
        <w:pStyle w:val="2"/>
        <w:keepNext w:val="0"/>
        <w:keepLines w:val="0"/>
        <w:widowControl/>
        <w:suppressLineNumbers w:val="0"/>
        <w:shd w:val="clear" w:fill="FFFFFF"/>
        <w:spacing w:before="0" w:beforeAutospacing="0" w:after="120" w:afterAutospacing="0"/>
        <w:ind w:left="0" w:right="0" w:firstLine="616"/>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5"/>
          <w:sz w:val="25"/>
          <w:szCs w:val="25"/>
          <w:shd w:val="clear" w:fill="FFFFFF"/>
        </w:rPr>
        <w:t>主办单位：</w:t>
      </w:r>
    </w:p>
    <w:p w14:paraId="11E511DA">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中国学位与研究生教育学会</w:t>
      </w:r>
    </w:p>
    <w:p w14:paraId="2493E884">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中国科协青少年科技中心</w:t>
      </w:r>
    </w:p>
    <w:p w14:paraId="0B03738B">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中国电子学会</w:t>
      </w:r>
    </w:p>
    <w:p w14:paraId="18F0A811">
      <w:pPr>
        <w:pStyle w:val="2"/>
        <w:keepNext w:val="0"/>
        <w:keepLines w:val="0"/>
        <w:widowControl/>
        <w:suppressLineNumbers w:val="0"/>
        <w:shd w:val="clear" w:fill="FFFFFF"/>
        <w:spacing w:before="0" w:beforeAutospacing="0" w:after="120" w:afterAutospacing="0"/>
        <w:ind w:left="0" w:right="0" w:firstLine="616"/>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5"/>
          <w:sz w:val="25"/>
          <w:szCs w:val="25"/>
          <w:shd w:val="clear" w:fill="FFFFFF"/>
        </w:rPr>
        <w:t>承办单位：</w:t>
      </w:r>
    </w:p>
    <w:p w14:paraId="3CB75268">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东北分赛区：大连理工大学</w:t>
      </w:r>
    </w:p>
    <w:p w14:paraId="3BD1C79D">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华北分赛区：北京信息科技大学</w:t>
      </w:r>
    </w:p>
    <w:p w14:paraId="288D14F9">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西北分赛区：西安电子科技大学</w:t>
      </w:r>
    </w:p>
    <w:p w14:paraId="00920549">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华中分赛区：长沙理工大学</w:t>
      </w:r>
    </w:p>
    <w:p w14:paraId="1A508C30">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华东分赛区：厦门大学</w:t>
      </w:r>
    </w:p>
    <w:p w14:paraId="60B97418">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上海分赛区：上海电子学会/上海师范大学</w:t>
      </w:r>
    </w:p>
    <w:p w14:paraId="066F4599">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西南分赛区：西南科技大学</w:t>
      </w:r>
    </w:p>
    <w:p w14:paraId="25443981">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华南分赛区：海南大学</w:t>
      </w:r>
    </w:p>
    <w:p w14:paraId="413F0B5B">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光载信息专项赛：清华大学深圳国际研究生院</w:t>
      </w:r>
    </w:p>
    <w:p w14:paraId="49DFFB93">
      <w:pPr>
        <w:pStyle w:val="2"/>
        <w:keepNext w:val="0"/>
        <w:keepLines w:val="0"/>
        <w:widowControl/>
        <w:suppressLineNumbers w:val="0"/>
        <w:shd w:val="clear" w:fill="FFFFFF"/>
        <w:spacing w:before="0" w:beforeAutospacing="0" w:after="120" w:afterAutospacing="0"/>
        <w:ind w:left="0" w:right="0" w:firstLine="624"/>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商业计划书专项赛：</w:t>
      </w:r>
      <w:r>
        <w:rPr>
          <w:rFonts w:hint="eastAsia" w:ascii="微软雅黑" w:hAnsi="微软雅黑" w:eastAsia="微软雅黑" w:cs="微软雅黑"/>
          <w:i w:val="0"/>
          <w:iCs w:val="0"/>
          <w:caps w:val="0"/>
          <w:color w:val="333333"/>
          <w:spacing w:val="0"/>
          <w:sz w:val="32"/>
          <w:szCs w:val="32"/>
          <w:shd w:val="clear" w:fill="FFFFFF"/>
        </w:rPr>
        <w:t>上海新微科技发展有限公司</w:t>
      </w:r>
    </w:p>
    <w:p w14:paraId="61F5AACB">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四、竞赛程序</w:t>
      </w:r>
    </w:p>
    <w:p w14:paraId="40BA3E1E">
      <w:pPr>
        <w:pStyle w:val="2"/>
        <w:keepNext w:val="0"/>
        <w:keepLines w:val="0"/>
        <w:widowControl/>
        <w:suppressLineNumbers w:val="0"/>
        <w:shd w:val="clear" w:fill="FFFFFF"/>
        <w:spacing w:before="0" w:beforeAutospacing="0" w:after="120" w:afterAutospacing="0"/>
        <w:ind w:left="0" w:right="0" w:firstLine="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4"/>
          <w:sz w:val="32"/>
          <w:szCs w:val="32"/>
          <w:shd w:val="clear" w:fill="FFFFFF"/>
        </w:rPr>
        <w:t>中国研究生电子设计竞赛分六个阶段：竞赛筹备与通知发布、分赛区成立与竞赛宣传、参赛报名与参赛作品提交、分赛区初赛、决赛现场评审及颁奖、竞赛总结。具体参赛流程如下。</w:t>
      </w:r>
    </w:p>
    <w:p w14:paraId="1B25D79A">
      <w:pPr>
        <w:pStyle w:val="2"/>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drawing>
          <wp:inline distT="0" distB="0" distL="114300" distR="114300">
            <wp:extent cx="5271770" cy="3342005"/>
            <wp:effectExtent l="0" t="0" r="1270"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1770" cy="3342005"/>
                    </a:xfrm>
                    <a:prstGeom prst="rect">
                      <a:avLst/>
                    </a:prstGeom>
                    <a:noFill/>
                    <a:ln w="9525">
                      <a:noFill/>
                    </a:ln>
                  </pic:spPr>
                </pic:pic>
              </a:graphicData>
            </a:graphic>
          </wp:inline>
        </w:drawing>
      </w:r>
    </w:p>
    <w:p w14:paraId="6C864BA9">
      <w:pPr>
        <w:pStyle w:val="2"/>
        <w:keepNext w:val="0"/>
        <w:keepLines w:val="0"/>
        <w:widowControl/>
        <w:suppressLineNumbers w:val="0"/>
        <w:shd w:val="clear" w:fill="FFFFFF"/>
        <w:spacing w:before="48" w:beforeAutospacing="0" w:after="204" w:afterAutospacing="0"/>
        <w:ind w:left="96" w:right="84" w:firstLine="64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参赛流程图</w:t>
      </w:r>
    </w:p>
    <w:p w14:paraId="6835F256">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五、参赛办法</w:t>
      </w:r>
    </w:p>
    <w:p w14:paraId="197023D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1．中国在读研究生（包括应届毕业生）和已获得研究生入学资格的大四本科生（需提供学校保研、录取证明）均可参赛。</w:t>
      </w:r>
    </w:p>
    <w:p w14:paraId="168A911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2．以参赛队为基本报名单位，不接受个人形式报名。</w:t>
      </w:r>
    </w:p>
    <w:p w14:paraId="6647179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3．竞赛分为技术竞赛和商业计划书专项赛两大部分，两部分竞赛相互独立，组队、报名、评审、奖励工作均分开进行，互不影响。</w:t>
      </w:r>
    </w:p>
    <w:p w14:paraId="27997E4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4．技术类竞赛部分由企业命题和开放命题两个赛道组成，参与企业命题赛道的团队由命题企业组织评审，分别获得企业专项奖与技术竞赛初赛、决赛团队奖，两类奖励相互独立，互为补充，奖金择高发放。</w:t>
      </w:r>
    </w:p>
    <w:p w14:paraId="265E38A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每支参赛队由指导老师、队长和队员组成。在同一个参赛部分（技术类竞赛或商业计划书专项赛）中，指导老师一名或两名，队长一名，队员一名至二名，每位指导老师至多指导两支参赛队，每位参赛队员只能加入一支参赛队。</w:t>
      </w:r>
    </w:p>
    <w:p w14:paraId="522F166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6．参赛团队成员须为是参赛作品有实质贡献的个体，不允许成员挂名。如发现挂名现象，组委会将永久取消挂名参赛者参赛资格，并向各参赛单位通报，请各位参赛者相互监督。</w:t>
      </w:r>
    </w:p>
    <w:p w14:paraId="272F004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7．组队时，由队长确认指导老师顺序和队员顺序，此顺序依据参赛贡献大小确定。获奖证书将严格按照组队顺序制作，不再确认和更改。</w:t>
      </w:r>
      <w:r>
        <w:rPr>
          <w:rFonts w:hint="eastAsia" w:ascii="微软雅黑" w:hAnsi="微软雅黑" w:eastAsia="微软雅黑" w:cs="微软雅黑"/>
          <w:i w:val="0"/>
          <w:iCs w:val="0"/>
          <w:caps w:val="0"/>
          <w:color w:val="333333"/>
          <w:spacing w:val="0"/>
          <w:sz w:val="32"/>
          <w:szCs w:val="32"/>
          <w:shd w:val="clear" w:fill="F1C40F"/>
        </w:rPr>
        <w:t>跨校组队时，获奖证书单位默认以队长所在单位为准。若添加合作单位，应确保该单位至少有一名指导教师和一名学生参赛，并于报名期间向组委会邮箱提交书面申请，经审核后按参赛学生所属学校顺序予以标注。‌</w:t>
      </w:r>
    </w:p>
    <w:p w14:paraId="2BF7202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8．参赛队员必须具有正式研究生学籍或已被确认录取资格。有特殊情况的研究生培养单位，参赛队中最多允许有一名是本科生，但必须事先向竞赛组委会申请并经过批准，本科生参赛申请详见官网附件。</w:t>
      </w:r>
    </w:p>
    <w:p w14:paraId="1ABB4D5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9．参赛团队经过所在参赛单位同意后，在竞赛官网上完成注册、组队报名、作品提交及缴费。</w:t>
      </w:r>
    </w:p>
    <w:p w14:paraId="5FD416C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10．参赛单位设立研究生电子设计竞赛工作小组或联络人，在竞赛官网注册参赛单位管理员账户，负责本参赛单位参赛团队的资格审核和信息管理。</w:t>
      </w:r>
    </w:p>
    <w:p w14:paraId="26B60F9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11．技术类竞赛与商业计划书专项赛报名费由主办方及秘书处单位中国电子学会收取并开具电子发票。报名费原则上每支参赛团队500元人民币，如有特殊情况，各分赛区可适当调整，并出具官方通知。</w:t>
      </w:r>
    </w:p>
    <w:p w14:paraId="01FA38B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12．技术竞赛报名时，要求在报名页面填写描述作品创新点的作品简介，并填写最能说明作品创新点的三个创新关键词及成员分工说明。</w:t>
      </w:r>
    </w:p>
    <w:p w14:paraId="7D6473C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13．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14:paraId="55F001D9">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六、竞赛说明</w:t>
      </w:r>
    </w:p>
    <w:p w14:paraId="010F93A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1．技术类竞赛由开放式命题与企业命题组成，</w:t>
      </w:r>
      <w:r>
        <w:rPr>
          <w:rFonts w:hint="eastAsia" w:ascii="微软雅黑" w:hAnsi="微软雅黑" w:eastAsia="微软雅黑" w:cs="微软雅黑"/>
          <w:i w:val="0"/>
          <w:iCs w:val="0"/>
          <w:caps w:val="0"/>
          <w:color w:val="333333"/>
          <w:spacing w:val="0"/>
          <w:sz w:val="32"/>
          <w:szCs w:val="32"/>
          <w:shd w:val="clear" w:fill="F1C40F"/>
        </w:rPr>
        <w:t>并设立“光载信息”专项赛，</w:t>
      </w:r>
      <w:r>
        <w:rPr>
          <w:rFonts w:hint="eastAsia" w:ascii="微软雅黑" w:hAnsi="微软雅黑" w:eastAsia="微软雅黑" w:cs="微软雅黑"/>
          <w:i w:val="0"/>
          <w:iCs w:val="0"/>
          <w:caps w:val="0"/>
          <w:color w:val="333333"/>
          <w:spacing w:val="0"/>
          <w:sz w:val="32"/>
          <w:szCs w:val="32"/>
          <w:shd w:val="clear" w:fill="FFFFFF"/>
        </w:rPr>
        <w:t>由参赛队自主选择作品命题。评审重点考察作品的创意和创新性，技术实现以及团队综合能力。</w:t>
      </w:r>
    </w:p>
    <w:p w14:paraId="65558A1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2．开放式命题分为以下八个参赛方向，参赛队可自行选择参赛方向：</w:t>
      </w:r>
    </w:p>
    <w:p w14:paraId="3845651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w:t>
      </w:r>
      <w:r>
        <w:rPr>
          <w:rStyle w:val="5"/>
          <w:rFonts w:hint="eastAsia" w:ascii="微软雅黑" w:hAnsi="微软雅黑" w:eastAsia="微软雅黑" w:cs="微软雅黑"/>
          <w:b/>
          <w:bCs/>
          <w:i w:val="0"/>
          <w:iCs w:val="0"/>
          <w:caps w:val="0"/>
          <w:color w:val="333333"/>
          <w:spacing w:val="0"/>
          <w:sz w:val="32"/>
          <w:szCs w:val="32"/>
          <w:shd w:val="clear" w:fill="FFFFFF"/>
        </w:rPr>
        <w:t>电路与嵌入式系统类</w:t>
      </w:r>
      <w:r>
        <w:rPr>
          <w:rFonts w:hint="eastAsia" w:ascii="微软雅黑" w:hAnsi="微软雅黑" w:eastAsia="微软雅黑" w:cs="微软雅黑"/>
          <w:i w:val="0"/>
          <w:iCs w:val="0"/>
          <w:caps w:val="0"/>
          <w:color w:val="333333"/>
          <w:spacing w:val="0"/>
          <w:sz w:val="32"/>
          <w:szCs w:val="32"/>
          <w:shd w:val="clear" w:fill="FFFFFF"/>
        </w:rPr>
        <w:t>，包括但不限于针对某一功能应用所开展的具有较强创新创意的电子电路软硬件设计、终端设备或嵌入式系统实现等，如基于FPGA、DSP、MCU、嵌入式系统等开发的软硬件系统、智能硬件、新型射频天线、并行处理系统、仪器仪表等；</w:t>
      </w:r>
    </w:p>
    <w:p w14:paraId="1FDFBC0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w:t>
      </w:r>
      <w:r>
        <w:rPr>
          <w:rStyle w:val="5"/>
          <w:rFonts w:hint="eastAsia" w:ascii="微软雅黑" w:hAnsi="微软雅黑" w:eastAsia="微软雅黑" w:cs="微软雅黑"/>
          <w:b/>
          <w:bCs/>
          <w:i w:val="0"/>
          <w:iCs w:val="0"/>
          <w:caps w:val="0"/>
          <w:color w:val="333333"/>
          <w:spacing w:val="0"/>
          <w:sz w:val="32"/>
          <w:szCs w:val="32"/>
          <w:shd w:val="clear" w:fill="FFFFFF"/>
        </w:rPr>
        <w:t>机电控制与智能制造类</w:t>
      </w:r>
      <w:r>
        <w:rPr>
          <w:rFonts w:hint="eastAsia" w:ascii="微软雅黑" w:hAnsi="微软雅黑" w:eastAsia="微软雅黑" w:cs="微软雅黑"/>
          <w:i w:val="0"/>
          <w:iCs w:val="0"/>
          <w:caps w:val="0"/>
          <w:color w:val="333333"/>
          <w:spacing w:val="0"/>
          <w:sz w:val="32"/>
          <w:szCs w:val="32"/>
          <w:shd w:val="clear" w:fill="FFFFFF"/>
        </w:rPr>
        <w:t>，包括但不限于实现自动控制与自主运行的创新创意软硬件系统与电气自动化系统等，如机器人，飞行器，智能车，工业自动化，电气自动化传感器、设备或系统，电能变换技术、电力电子与电力传动、电机控制技术等；</w:t>
      </w:r>
    </w:p>
    <w:p w14:paraId="69B9EE3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w:t>
      </w:r>
      <w:r>
        <w:rPr>
          <w:rStyle w:val="5"/>
          <w:rFonts w:hint="eastAsia" w:ascii="微软雅黑" w:hAnsi="微软雅黑" w:eastAsia="微软雅黑" w:cs="微软雅黑"/>
          <w:b/>
          <w:bCs/>
          <w:i w:val="0"/>
          <w:iCs w:val="0"/>
          <w:caps w:val="0"/>
          <w:color w:val="333333"/>
          <w:spacing w:val="0"/>
          <w:sz w:val="32"/>
          <w:szCs w:val="32"/>
          <w:shd w:val="clear" w:fill="FFFFFF"/>
        </w:rPr>
        <w:t>通信与网络技术类</w:t>
      </w:r>
      <w:r>
        <w:rPr>
          <w:rFonts w:hint="eastAsia" w:ascii="微软雅黑" w:hAnsi="微软雅黑" w:eastAsia="微软雅黑" w:cs="微软雅黑"/>
          <w:i w:val="0"/>
          <w:iCs w:val="0"/>
          <w:caps w:val="0"/>
          <w:color w:val="333333"/>
          <w:spacing w:val="0"/>
          <w:sz w:val="32"/>
          <w:szCs w:val="32"/>
          <w:shd w:val="clear" w:fill="FFFFFF"/>
        </w:rPr>
        <w:t>，包括但不限于基于各种通信及网络技术研究开发的创新创意通信网络应用模块或系统，如网络安全、无线通信、光纤通信、互联网、物联网、空间信息网、水下通信网络、工业控制网络、边缘计算等通信或网络设备、系统或软件等；</w:t>
      </w:r>
    </w:p>
    <w:p w14:paraId="0E005BBE">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w:t>
      </w:r>
      <w:r>
        <w:rPr>
          <w:rStyle w:val="5"/>
          <w:rFonts w:hint="eastAsia" w:ascii="微软雅黑" w:hAnsi="微软雅黑" w:eastAsia="微软雅黑" w:cs="微软雅黑"/>
          <w:b/>
          <w:bCs/>
          <w:i w:val="0"/>
          <w:iCs w:val="0"/>
          <w:caps w:val="0"/>
          <w:color w:val="333333"/>
          <w:spacing w:val="0"/>
          <w:sz w:val="32"/>
          <w:szCs w:val="32"/>
          <w:shd w:val="clear" w:fill="FFFFFF"/>
        </w:rPr>
        <w:t>信息感知系统与应用类</w:t>
      </w:r>
      <w:r>
        <w:rPr>
          <w:rFonts w:hint="eastAsia" w:ascii="微软雅黑" w:hAnsi="微软雅黑" w:eastAsia="微软雅黑" w:cs="微软雅黑"/>
          <w:i w:val="0"/>
          <w:iCs w:val="0"/>
          <w:caps w:val="0"/>
          <w:color w:val="333333"/>
          <w:spacing w:val="0"/>
          <w:sz w:val="32"/>
          <w:szCs w:val="32"/>
          <w:shd w:val="clear" w:fill="FFFFFF"/>
        </w:rPr>
        <w:t>，包括但不限于光电感知、传感器、微纳传感器与微机电系统、空间探测等传感与信息获取类软硬件系统，如工业传感、生物传感、生态环境传感、光电探测、遥感探测、定位导航等系统的设计与实现；</w:t>
      </w:r>
    </w:p>
    <w:p w14:paraId="3E756F4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w:t>
      </w:r>
      <w:r>
        <w:rPr>
          <w:rStyle w:val="5"/>
          <w:rFonts w:hint="eastAsia" w:ascii="微软雅黑" w:hAnsi="微软雅黑" w:eastAsia="微软雅黑" w:cs="微软雅黑"/>
          <w:b/>
          <w:bCs/>
          <w:i w:val="0"/>
          <w:iCs w:val="0"/>
          <w:caps w:val="0"/>
          <w:color w:val="333333"/>
          <w:spacing w:val="0"/>
          <w:sz w:val="32"/>
          <w:szCs w:val="32"/>
          <w:shd w:val="clear" w:fill="FFFFFF"/>
        </w:rPr>
        <w:t>信号和信息处理技术与系统</w:t>
      </w:r>
      <w:r>
        <w:rPr>
          <w:rFonts w:hint="eastAsia" w:ascii="微软雅黑" w:hAnsi="微软雅黑" w:eastAsia="微软雅黑" w:cs="微软雅黑"/>
          <w:i w:val="0"/>
          <w:iCs w:val="0"/>
          <w:caps w:val="0"/>
          <w:color w:val="333333"/>
          <w:spacing w:val="0"/>
          <w:sz w:val="32"/>
          <w:szCs w:val="32"/>
          <w:shd w:val="clear" w:fill="FFFFFF"/>
        </w:rPr>
        <w:t>，包括但不限于视频、图像、语音、文本、频谱信号处理和信息处理、特征识别，以及信号检测及对抗的软硬件系统， 如安防监控、音视频编解码、网络文本搜索与处理、雷达信号处理、信息对抗系统等；</w:t>
      </w:r>
    </w:p>
    <w:p w14:paraId="4FBC346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w:t>
      </w:r>
      <w:r>
        <w:rPr>
          <w:rStyle w:val="5"/>
          <w:rFonts w:hint="eastAsia" w:ascii="微软雅黑" w:hAnsi="微软雅黑" w:eastAsia="微软雅黑" w:cs="微软雅黑"/>
          <w:b/>
          <w:bCs/>
          <w:i w:val="0"/>
          <w:iCs w:val="0"/>
          <w:caps w:val="0"/>
          <w:color w:val="333333"/>
          <w:spacing w:val="0"/>
          <w:sz w:val="32"/>
          <w:szCs w:val="32"/>
          <w:shd w:val="clear" w:fill="F1C40F"/>
        </w:rPr>
        <w:t>人工智能类</w:t>
      </w:r>
      <w:r>
        <w:rPr>
          <w:rFonts w:hint="eastAsia" w:ascii="微软雅黑" w:hAnsi="微软雅黑" w:eastAsia="微软雅黑" w:cs="微软雅黑"/>
          <w:i w:val="0"/>
          <w:iCs w:val="0"/>
          <w:caps w:val="0"/>
          <w:color w:val="333333"/>
          <w:spacing w:val="0"/>
          <w:sz w:val="32"/>
          <w:szCs w:val="32"/>
          <w:shd w:val="clear" w:fill="F1C40F"/>
        </w:rPr>
        <w:t>，包括不限于面向大语言基础模型、各类模态生成模型以及智能体、具身智能平台的软硬件系统或智能应用。鼓励与当前电子信息的设计与制造流程相结合，优化垂直领域任务，形成交叉应用；</w:t>
      </w:r>
    </w:p>
    <w:p w14:paraId="6E51C89E">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w:t>
      </w:r>
      <w:r>
        <w:rPr>
          <w:rStyle w:val="5"/>
          <w:rFonts w:hint="eastAsia" w:ascii="微软雅黑" w:hAnsi="微软雅黑" w:eastAsia="微软雅黑" w:cs="微软雅黑"/>
          <w:b/>
          <w:bCs/>
          <w:i w:val="0"/>
          <w:iCs w:val="0"/>
          <w:caps w:val="0"/>
          <w:color w:val="333333"/>
          <w:spacing w:val="0"/>
          <w:sz w:val="32"/>
          <w:szCs w:val="32"/>
          <w:shd w:val="clear" w:fill="FFFFFF"/>
        </w:rPr>
        <w:t>技术探索与交叉学科类</w:t>
      </w:r>
      <w:r>
        <w:rPr>
          <w:rFonts w:hint="eastAsia" w:ascii="微软雅黑" w:hAnsi="微软雅黑" w:eastAsia="微软雅黑" w:cs="微软雅黑"/>
          <w:i w:val="0"/>
          <w:iCs w:val="0"/>
          <w:caps w:val="0"/>
          <w:color w:val="333333"/>
          <w:spacing w:val="0"/>
          <w:sz w:val="32"/>
          <w:szCs w:val="32"/>
          <w:shd w:val="clear" w:fill="FFFFFF"/>
        </w:rPr>
        <w:t>，包括但不限于基于新材料、新器件、新工艺、新设计等构建的新型电子信息类软硬件系统，如面向生命健康、艺术创造、环境生态、清洁能源等的新型传感器、电子电路、处理器、通信网络设备、信息处理器以及应用系统等；</w:t>
      </w:r>
    </w:p>
    <w:p w14:paraId="17757BC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(8)</w:t>
      </w:r>
      <w:r>
        <w:rPr>
          <w:rStyle w:val="5"/>
          <w:rFonts w:hint="eastAsia" w:ascii="微软雅黑" w:hAnsi="微软雅黑" w:eastAsia="微软雅黑" w:cs="微软雅黑"/>
          <w:b/>
          <w:bCs/>
          <w:i w:val="0"/>
          <w:iCs w:val="0"/>
          <w:caps w:val="0"/>
          <w:color w:val="333333"/>
          <w:spacing w:val="0"/>
          <w:sz w:val="32"/>
          <w:szCs w:val="32"/>
          <w:shd w:val="clear" w:fill="FFFFFF"/>
        </w:rPr>
        <w:t>华为6G先进无线技术探索</w:t>
      </w:r>
      <w:r>
        <w:rPr>
          <w:rFonts w:hint="eastAsia" w:ascii="微软雅黑" w:hAnsi="微软雅黑" w:eastAsia="微软雅黑" w:cs="微软雅黑"/>
          <w:i w:val="0"/>
          <w:iCs w:val="0"/>
          <w:caps w:val="0"/>
          <w:color w:val="333333"/>
          <w:spacing w:val="0"/>
          <w:sz w:val="32"/>
          <w:szCs w:val="32"/>
          <w:shd w:val="clear" w:fill="FFFFFF"/>
        </w:rPr>
        <w:t>，包括但不限于用以构建及拓展6G愿景、应用及需求的先进无线网络创意（含支撑技术、模块或系统），如面向绿色节能、超高吞吐、超低时延、超高可靠、超远覆盖、海量连接、极简架构、智慧互联、通感一体、内生AI及原生可信的方案、设备、系统或软件。</w:t>
      </w:r>
    </w:p>
    <w:p w14:paraId="11B05E4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w:t>
      </w:r>
      <w:r>
        <w:rPr>
          <w:rFonts w:hint="eastAsia" w:ascii="微软雅黑" w:hAnsi="微软雅黑" w:eastAsia="微软雅黑" w:cs="微软雅黑"/>
          <w:i w:val="0"/>
          <w:iCs w:val="0"/>
          <w:caps w:val="0"/>
          <w:color w:val="333333"/>
          <w:spacing w:val="0"/>
          <w:sz w:val="32"/>
          <w:szCs w:val="32"/>
          <w:shd w:val="clear" w:fill="F1C40F"/>
        </w:rPr>
        <w:t>商业计划书专项赛分为应用赛道与探索赛道：</w:t>
      </w:r>
    </w:p>
    <w:p w14:paraId="7AD6220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(1)应用赛道聚焦行业实际痛点，要求参赛作品为具备明确市场价值的电子信息系统、硬件产品或整体解决方案。鼓励多学科交叉融合与人工智能、电子信息技术的双向赋能。</w:t>
      </w:r>
    </w:p>
    <w:p w14:paraId="218DE01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(2)探索赛道面向未来技术方向，包括以下方向：</w:t>
      </w:r>
    </w:p>
    <w:p w14:paraId="583E201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汽车电子。包括但不限于多模态感知融合、车路云协同等技术的创新应用，如自动驾驶多传感器融合算法（激光雷达+视觉）、车规级边缘计算平台等。技术核心在于实现高精度环境感知与实时决策，需突破多源数据融合、低延时通信等关键技术。商业化切入点可聚焦智能网联汽车解决方案、高精度地图服务等场景。  </w:t>
      </w:r>
    </w:p>
    <w:p w14:paraId="14947E9E">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未来运载。包括但不限于低空飞行器通导遥一体化、立体物流网络等方向，如城市物流无人机自主导航系统、低空交通管理平台等。技术核心需整合通信、导航与遥感技术（如北斗+5G），实现三维空间智能调度；商业化切入点可面向应急救援、城市立体物流等领域。  </w:t>
      </w:r>
    </w:p>
    <w:p w14:paraId="4C791FD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BTIT（生物技术与信息技术交叉）。包括但不限于脑机接口、DNA存储等前沿交叉领域，如神经信号解码芯片、生物分子编码算法等。技术核心需突破生物信号噪声抑制、生物-电子接口兼容性等难题；商业化切入点可覆盖医疗康复器械（如瘫痪患者意念控制设备）、生物大数据存储服务等。  </w:t>
      </w:r>
    </w:p>
    <w:p w14:paraId="4A15476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医工交叉。包括但不限于智能医疗设备、精准诊疗系统等方向，如无创血糖监测贴片、手术机器人触觉反馈模块等。技术核心需融合生物传感技术与边缘计算能力，提升医疗设备的实时性与准确性；商业化切入点可针对慢病管理、微创手术等场景。  </w:t>
      </w:r>
    </w:p>
    <w:p w14:paraId="579850A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光电子。包括但不限于光子芯片设计、光电集成系统等方向，如硅基光子计算芯片、量子通信光模块等。技术核心需解决光电子器件的规模化制造与能耗优化问题；商业化切入点可面向数据中心光互联、量子加密通信等领域。   </w:t>
      </w:r>
    </w:p>
    <w:p w14:paraId="72A88C3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机器人。包括但不限于自主导航、人机协作、智能控制等技术的创新应用，如协作机器人柔性抓取系统、AI驱动的服务机器人、医疗手术机器人等。技术核心在于融合多模态感知（视觉/力觉/触觉）、实时路径规划与自适应控制算法，需突破动态环境下的高精度定位与决策能力；商业化切入点可覆盖工业自动化（如柔性生产线）、智慧医疗（如微创手术辅助）、家庭服务（如老人陪护机器人）等场景。  </w:t>
      </w:r>
    </w:p>
    <w:p w14:paraId="47D749A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人工智能。包括但不限于深度学习、强化学习、生成式AI等前沿技术的垂直应用，如大模型驱动的行业知识引擎、多模态内容生成系统、自主进化型AI代理等。技术核心需突破小样本学习、模型轻量化、可解释性等瓶颈，实现算法-硬件-场景的协同优化；商业化切入点可聚焦智慧城市（如交通流量预测）、智能医疗（如AI辅助诊断）、金融科技（如风险智能评估）等领域。  </w:t>
      </w:r>
    </w:p>
    <w:p w14:paraId="6868319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4．企业命题包括兆易创新命题、华为命题、小米命题、无问芯穹命题、飞腾命题、算能命题、优利德命题、Ti命题，新思科技、MathWorks设立企业专项奖，</w:t>
      </w:r>
      <w:r>
        <w:rPr>
          <w:rFonts w:hint="eastAsia" w:ascii="微软雅黑" w:hAnsi="微软雅黑" w:eastAsia="微软雅黑" w:cs="微软雅黑"/>
          <w:i w:val="0"/>
          <w:iCs w:val="0"/>
          <w:caps w:val="0"/>
          <w:color w:val="333333"/>
          <w:spacing w:val="0"/>
          <w:sz w:val="32"/>
          <w:szCs w:val="32"/>
          <w:shd w:val="clear" w:fill="F1C40F"/>
        </w:rPr>
        <w:t>并增设城市具身智能命题</w:t>
      </w:r>
      <w:r>
        <w:rPr>
          <w:rFonts w:hint="eastAsia" w:ascii="微软雅黑" w:hAnsi="微软雅黑" w:eastAsia="微软雅黑" w:cs="微软雅黑"/>
          <w:i w:val="0"/>
          <w:iCs w:val="0"/>
          <w:caps w:val="0"/>
          <w:color w:val="333333"/>
          <w:spacing w:val="0"/>
          <w:sz w:val="32"/>
          <w:szCs w:val="32"/>
          <w:shd w:val="clear" w:fill="FFFFFF"/>
        </w:rPr>
        <w:t>。具体命题信息请于2025年3月参见竞赛官方网站。</w:t>
      </w:r>
    </w:p>
    <w:p w14:paraId="1CA66EF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光载信息”专项赛面向以光为载体的未来信息技术方案、算法、协议、软件、电路、元器件、系统，包括但不限于光通信技术、光感知技术、光计算技术、光显示技术、光健康技术、感/通/算/显/康/照一体化技术、空天地海一体化技术、光电元器件模块设计和工艺技术、光载信息感知方案算法设计。</w:t>
      </w:r>
    </w:p>
    <w:p w14:paraId="4F8263B7">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6．技术类竞赛要求参赛队制作符合设计方案的演示实物，向组委会提交的参赛文件为技术论文、演示视频、门型展架设计图片与作品照片的电子文件。</w:t>
      </w:r>
    </w:p>
    <w:p w14:paraId="5513E86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7．要求商业计划书专项赛中涉及的作品是已实现功能的实物，并向组委会提交的参赛文件为作品演示视频、作品介绍 PPT 和商业计划书的电子文件。</w:t>
      </w:r>
    </w:p>
    <w:p w14:paraId="266AFC4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8．组委会不限制参赛作品所使用工具的品牌和型号，由参赛队自行选择， 所使用软硬件工具的品牌不影响竞赛成绩。</w:t>
      </w:r>
    </w:p>
    <w:p w14:paraId="525189D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9．参赛队拥有其参赛作品的知识产权，不可抄袭他人作品或侵占他人知识产权。如有违规，组委会有权取消其参赛资格。</w:t>
      </w:r>
    </w:p>
    <w:p w14:paraId="4412DC0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10．同一学校同一主题作品不可连续参赛，如果确实有重大改进，请在初赛提交作品时标注往届获奖情况，并提交《作品重大改进说明》。</w:t>
      </w:r>
    </w:p>
    <w:p w14:paraId="79C2E54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11．竞赛根据往届参赛数据建立论文库并查重。论文重复率高且未提交《作品重大改进说明》，经专家鉴定为重复参赛或无实质创新、作品雷同或有抄袭行为的团队，将被取消参赛资格，并向参赛单位进行通报。</w:t>
      </w:r>
    </w:p>
    <w:p w14:paraId="766D8D19">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七、作品要求</w:t>
      </w:r>
    </w:p>
    <w:p w14:paraId="399E38E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val="0"/>
          <w:bCs w:val="0"/>
          <w:i w:val="0"/>
          <w:iCs w:val="0"/>
          <w:caps w:val="0"/>
          <w:color w:val="333333"/>
          <w:spacing w:val="0"/>
          <w:sz w:val="32"/>
          <w:szCs w:val="32"/>
          <w:shd w:val="clear" w:fill="FFFFFF"/>
        </w:rPr>
        <w:t>技术类竞赛要求提交技术论文、演示视频、展示图片、简介“门型展架”，其中，</w:t>
      </w:r>
      <w:r>
        <w:rPr>
          <w:rFonts w:hint="eastAsia" w:ascii="微软雅黑" w:hAnsi="微软雅黑" w:eastAsia="微软雅黑" w:cs="微软雅黑"/>
          <w:i w:val="0"/>
          <w:iCs w:val="0"/>
          <w:caps w:val="0"/>
          <w:color w:val="333333"/>
          <w:spacing w:val="0"/>
          <w:sz w:val="32"/>
          <w:szCs w:val="32"/>
          <w:shd w:val="clear" w:fill="FFFFFF"/>
        </w:rPr>
        <w:t>技术类竞赛PPT用于现场答辩，不作为报名附件提交。企业命题团队赛道按技术类竞赛要求提交附件的同时，还要求按照企业命题要求，追加上传如源代码等必要的作品附件。</w:t>
      </w:r>
    </w:p>
    <w:p w14:paraId="5B23EE2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商业计划书专项赛要求提交商业计划书、</w:t>
      </w:r>
      <w:r>
        <w:rPr>
          <w:rFonts w:hint="eastAsia" w:ascii="微软雅黑" w:hAnsi="微软雅黑" w:eastAsia="微软雅黑" w:cs="微软雅黑"/>
          <w:b w:val="0"/>
          <w:bCs w:val="0"/>
          <w:i w:val="0"/>
          <w:iCs w:val="0"/>
          <w:caps w:val="0"/>
          <w:color w:val="333333"/>
          <w:spacing w:val="0"/>
          <w:sz w:val="32"/>
          <w:szCs w:val="32"/>
          <w:shd w:val="clear" w:fill="FFFFFF"/>
        </w:rPr>
        <w:t>演示视频、展示图片、简介“门型展架”、</w:t>
      </w:r>
      <w:r>
        <w:rPr>
          <w:rFonts w:hint="eastAsia" w:ascii="微软雅黑" w:hAnsi="微软雅黑" w:eastAsia="微软雅黑" w:cs="微软雅黑"/>
          <w:i w:val="0"/>
          <w:iCs w:val="0"/>
          <w:caps w:val="0"/>
          <w:color w:val="333333"/>
          <w:spacing w:val="0"/>
          <w:sz w:val="32"/>
          <w:szCs w:val="32"/>
          <w:shd w:val="clear" w:fill="FFFFFF"/>
        </w:rPr>
        <w:t>参赛作品PPT。</w:t>
      </w:r>
    </w:p>
    <w:p w14:paraId="5DEDABA5">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具体附件要求如下：</w:t>
      </w:r>
    </w:p>
    <w:p w14:paraId="6B49286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1．技术论文</w:t>
      </w:r>
    </w:p>
    <w:p w14:paraId="27CCAAD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技术论文内容建议包括但不限于以下内容：</w:t>
      </w:r>
    </w:p>
    <w:p w14:paraId="4DD03DF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（1）作品难点与创新；（2）方案论证与设计；（3）原理分析与硬件电路图；（4）软件设计与流程；（5）系统测试与误差分析；（6）总结。</w:t>
      </w:r>
    </w:p>
    <w:p w14:paraId="536E665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不同类型作品可根据实际情况作相应调整，论文字数 60008000 字为宜， 具体格式要求参见</w:t>
      </w:r>
      <w:r>
        <w:rPr>
          <w:rFonts w:hint="eastAsia" w:ascii="微软雅黑" w:hAnsi="微软雅黑" w:eastAsia="微软雅黑" w:cs="微软雅黑"/>
          <w:b/>
          <w:bCs/>
          <w:i w:val="0"/>
          <w:iCs w:val="0"/>
          <w:caps w:val="0"/>
          <w:color w:val="333333"/>
          <w:spacing w:val="0"/>
          <w:sz w:val="32"/>
          <w:szCs w:val="32"/>
          <w:shd w:val="clear" w:fill="FFFFFF"/>
        </w:rPr>
        <w:t>附件一</w:t>
      </w:r>
      <w:r>
        <w:rPr>
          <w:rFonts w:hint="eastAsia" w:ascii="微软雅黑" w:hAnsi="微软雅黑" w:eastAsia="微软雅黑" w:cs="微软雅黑"/>
          <w:i w:val="0"/>
          <w:iCs w:val="0"/>
          <w:caps w:val="0"/>
          <w:color w:val="333333"/>
          <w:spacing w:val="0"/>
          <w:sz w:val="32"/>
          <w:szCs w:val="32"/>
          <w:shd w:val="clear" w:fill="FFFFFF"/>
        </w:rPr>
        <w:t>。</w:t>
      </w:r>
    </w:p>
    <w:p w14:paraId="194C835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2．商业计划书</w:t>
      </w:r>
    </w:p>
    <w:p w14:paraId="046FD4F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商业计划书内容建议包括但不限于以下内容：（1）项目意义（2）团队介绍(3)产品内容（4）行业及市场情况（5）营销策略（6）融资说明（7）财务计划（8）风险控制（9）项目实施难度。商业计划书模板详见</w:t>
      </w:r>
      <w:r>
        <w:rPr>
          <w:rFonts w:hint="eastAsia" w:ascii="微软雅黑" w:hAnsi="微软雅黑" w:eastAsia="微软雅黑" w:cs="微软雅黑"/>
          <w:b/>
          <w:bCs/>
          <w:i w:val="0"/>
          <w:iCs w:val="0"/>
          <w:caps w:val="0"/>
          <w:color w:val="333333"/>
          <w:spacing w:val="0"/>
          <w:sz w:val="32"/>
          <w:szCs w:val="32"/>
          <w:shd w:val="clear" w:fill="FFFFFF"/>
        </w:rPr>
        <w:t>附件二</w:t>
      </w:r>
      <w:r>
        <w:rPr>
          <w:rFonts w:hint="eastAsia" w:ascii="微软雅黑" w:hAnsi="微软雅黑" w:eastAsia="微软雅黑" w:cs="微软雅黑"/>
          <w:i w:val="0"/>
          <w:iCs w:val="0"/>
          <w:caps w:val="0"/>
          <w:color w:val="333333"/>
          <w:spacing w:val="0"/>
          <w:sz w:val="32"/>
          <w:szCs w:val="32"/>
          <w:shd w:val="clear" w:fill="FFFFFF"/>
        </w:rPr>
        <w:t>。</w:t>
      </w:r>
    </w:p>
    <w:p w14:paraId="1F6AE01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3．演示视频</w:t>
      </w:r>
    </w:p>
    <w:p w14:paraId="1FF22D8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视频分辨率不小于 1920*1080，大小不超过100M，时长不超过 5 分钟，格式为avi、mp4、wmv 之一。视频内容应包括作品原理及创新点、结构介绍、功能演示等三部分。</w:t>
      </w:r>
    </w:p>
    <w:p w14:paraId="7C788A9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出现在视频中的参赛队员需穿着正装出镜（男士白衬衣黑西裤黑皮鞋，女士白衬衣黑套裙或黑西裤黑皮鞋），使用普通话讲解作品，配备字幕。</w:t>
      </w:r>
    </w:p>
    <w:p w14:paraId="5E5A01C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4．参赛作品PPT</w:t>
      </w:r>
    </w:p>
    <w:p w14:paraId="71708EB2">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val="0"/>
          <w:bCs w:val="0"/>
          <w:i w:val="0"/>
          <w:iCs w:val="0"/>
          <w:caps w:val="0"/>
          <w:color w:val="333333"/>
          <w:spacing w:val="0"/>
          <w:sz w:val="32"/>
          <w:szCs w:val="32"/>
          <w:shd w:val="clear" w:fill="FFFFFF"/>
        </w:rPr>
        <w:t>技术竞赛PPT</w:t>
      </w:r>
      <w:r>
        <w:rPr>
          <w:rFonts w:hint="eastAsia" w:ascii="微软雅黑" w:hAnsi="微软雅黑" w:eastAsia="微软雅黑" w:cs="微软雅黑"/>
          <w:i w:val="0"/>
          <w:iCs w:val="0"/>
          <w:caps w:val="0"/>
          <w:color w:val="333333"/>
          <w:spacing w:val="0"/>
          <w:sz w:val="32"/>
          <w:szCs w:val="32"/>
          <w:shd w:val="clear" w:fill="FFFFFF"/>
        </w:rPr>
        <w:t>内容建议包含但不限于：选题意义、创新与特色、核心技术方法、结果与分析、应用价值。如参赛作品有项目基础，务必于PPT中明确阐述参赛团队的工作内容、主要贡献和组内分工。</w:t>
      </w:r>
    </w:p>
    <w:p w14:paraId="1550682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b w:val="0"/>
          <w:bCs w:val="0"/>
          <w:i w:val="0"/>
          <w:iCs w:val="0"/>
          <w:caps w:val="0"/>
          <w:color w:val="333333"/>
          <w:spacing w:val="0"/>
          <w:sz w:val="32"/>
          <w:szCs w:val="32"/>
          <w:shd w:val="clear" w:fill="FFFFFF"/>
        </w:rPr>
        <w:t>商业计划书专项赛PPT</w:t>
      </w:r>
      <w:r>
        <w:rPr>
          <w:rFonts w:hint="eastAsia" w:ascii="微软雅黑" w:hAnsi="微软雅黑" w:eastAsia="微软雅黑" w:cs="微软雅黑"/>
          <w:i w:val="0"/>
          <w:iCs w:val="0"/>
          <w:caps w:val="0"/>
          <w:color w:val="333333"/>
          <w:spacing w:val="0"/>
          <w:sz w:val="32"/>
          <w:szCs w:val="32"/>
          <w:shd w:val="clear" w:fill="FFFFFF"/>
        </w:rPr>
        <w:t>内容建议包括但不限于：公司及管理团队概述、项目意义及创新点、项目原理及设计方案、项目形象及功能模拟、行业及市场、营销及融资、财务及风险等。如已有作品实物，需一并提供参赛作品演示视频，视频要求参见本文“六3”。作品展示PPT模板见</w:t>
      </w:r>
      <w:r>
        <w:rPr>
          <w:rFonts w:hint="eastAsia" w:ascii="微软雅黑" w:hAnsi="微软雅黑" w:eastAsia="微软雅黑" w:cs="微软雅黑"/>
          <w:b/>
          <w:bCs/>
          <w:i w:val="0"/>
          <w:iCs w:val="0"/>
          <w:caps w:val="0"/>
          <w:color w:val="333333"/>
          <w:spacing w:val="0"/>
          <w:sz w:val="32"/>
          <w:szCs w:val="32"/>
          <w:shd w:val="clear" w:fill="FFFFFF"/>
        </w:rPr>
        <w:t>附件三</w:t>
      </w:r>
      <w:r>
        <w:rPr>
          <w:rFonts w:hint="eastAsia" w:ascii="微软雅黑" w:hAnsi="微软雅黑" w:eastAsia="微软雅黑" w:cs="微软雅黑"/>
          <w:i w:val="0"/>
          <w:iCs w:val="0"/>
          <w:caps w:val="0"/>
          <w:color w:val="333333"/>
          <w:spacing w:val="0"/>
          <w:sz w:val="32"/>
          <w:szCs w:val="32"/>
          <w:shd w:val="clear" w:fill="FFFFFF"/>
        </w:rPr>
        <w:t>。</w:t>
      </w:r>
    </w:p>
    <w:p w14:paraId="4ED2957E">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5．展示图片</w:t>
      </w:r>
    </w:p>
    <w:p w14:paraId="192DE53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参赛作品全貌、特写照片 5 张，每张图片大小不超过 2M。</w:t>
      </w:r>
    </w:p>
    <w:p w14:paraId="3DEE6F2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6．简介“门型展架”</w:t>
      </w:r>
    </w:p>
    <w:p w14:paraId="16623D0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在不影响知识产权及论文发表的前提下，凝练参赛作品的主要创新。要求参赛团队：</w:t>
      </w:r>
    </w:p>
    <w:p w14:paraId="5B77AC47">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(1)清晰、简洁地描述作品解决的关键技术问题与背景；</w:t>
      </w:r>
    </w:p>
    <w:p w14:paraId="7F53CB6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(2)准确、完整地阐述参赛作品中具有创新性的关键技术；</w:t>
      </w:r>
    </w:p>
    <w:p w14:paraId="61C156F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(3)客观、详实地对比国内外同类先进技术的主要参数、设计方法、成本效益与市场竞争力。</w:t>
      </w:r>
    </w:p>
    <w:p w14:paraId="22E454E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参赛团队如有成员本人署名的支持作品创新性的旁证材料，如专利、鉴定证书、验收证书/报告、论文、第三方评估等，应在对应创新点前标明，并根据其重要程度排序，展架仅展示团队成员本人参与的工作内容，非参赛团队成员本人的作品创新性旁证材料不作为竞赛评审依据。</w:t>
      </w:r>
    </w:p>
    <w:p w14:paraId="6CE7474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展架内容要求文字精炼、结构清晰，图文结合，格式为.jpg，大小不超过30M，用于评审现场的“门型展架”实物尺寸要求为80*180cm。优秀团队的门型展架内容将面向社会公开，以进一步促进学术交流，展示当代研究生科研风采。作品简介“门型展架”模板见</w:t>
      </w:r>
      <w:r>
        <w:rPr>
          <w:rFonts w:hint="eastAsia" w:ascii="微软雅黑" w:hAnsi="微软雅黑" w:eastAsia="微软雅黑" w:cs="微软雅黑"/>
          <w:b/>
          <w:bCs/>
          <w:i w:val="0"/>
          <w:iCs w:val="0"/>
          <w:caps w:val="0"/>
          <w:color w:val="333333"/>
          <w:spacing w:val="0"/>
          <w:sz w:val="32"/>
          <w:szCs w:val="32"/>
          <w:shd w:val="clear" w:fill="FFFFFF"/>
        </w:rPr>
        <w:t>附件四。</w:t>
      </w:r>
    </w:p>
    <w:p w14:paraId="311EF2B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7．作品提交</w:t>
      </w:r>
    </w:p>
    <w:p w14:paraId="3691D59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将pdf格式与docx格式的技术论文或商业计划书，jpg格式简介“门型展架”电子文件，分别提交至官网对应处。</w:t>
      </w:r>
    </w:p>
    <w:p w14:paraId="47C17C3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将演示视频、展示照片、答辩PPT及其他电子文档以类别命名，压缩至同一文件夹中，并命名为“参赛队作品名称”，上传至</w:t>
      </w:r>
      <w:r>
        <w:rPr>
          <w:rFonts w:hint="eastAsia" w:ascii="微软雅黑" w:hAnsi="微软雅黑" w:eastAsia="微软雅黑" w:cs="微软雅黑"/>
          <w:b w:val="0"/>
          <w:bCs w:val="0"/>
          <w:i w:val="0"/>
          <w:iCs w:val="0"/>
          <w:caps w:val="0"/>
          <w:color w:val="333333"/>
          <w:spacing w:val="0"/>
          <w:sz w:val="32"/>
          <w:szCs w:val="32"/>
          <w:shd w:val="clear" w:fill="FFFFFF"/>
        </w:rPr>
        <w:t>百度网盘</w:t>
      </w:r>
      <w:r>
        <w:rPr>
          <w:rFonts w:hint="eastAsia" w:ascii="微软雅黑" w:hAnsi="微软雅黑" w:eastAsia="微软雅黑" w:cs="微软雅黑"/>
          <w:i w:val="0"/>
          <w:iCs w:val="0"/>
          <w:caps w:val="0"/>
          <w:color w:val="333333"/>
          <w:spacing w:val="0"/>
          <w:sz w:val="32"/>
          <w:szCs w:val="32"/>
          <w:shd w:val="clear" w:fill="FFFFFF"/>
        </w:rPr>
        <w:t>，将下载链接与密码提交至竞赛官网后，即完成官网作品提交。</w:t>
      </w:r>
    </w:p>
    <w:p w14:paraId="43371CFA">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八、评审办法</w:t>
      </w:r>
    </w:p>
    <w:p w14:paraId="0611D43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1．竞赛分为两级评审，包含分赛区初赛评审和全国总决赛评审。</w:t>
      </w:r>
    </w:p>
    <w:p w14:paraId="718D783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分赛区评审中，开放命题赛道由高校专家组成评审组，按初赛获奖与晋级比例评定奖励；企业命题赛道由命题企业专家组成评审组，推荐优秀参赛团队入围全国总决赛，推荐团队数量应不超过报名总数的20%，推荐团队数量不足6支时，按6支补足。</w:t>
      </w:r>
    </w:p>
    <w:p w14:paraId="2865D6A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全国总决赛评审中，由各企业命题晋级团队单独组成评审组，以研电赛评审标准为指导，依据各企业命题评审要求，排名前50%的决赛入围团队按全国总决赛获奖比例，产生技术竞赛决赛团队一二三等奖，其他团队保留初赛团队一等奖，不获得决赛团队奖励。</w:t>
      </w:r>
    </w:p>
    <w:p w14:paraId="4EE7F57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4．相近技术方向的企业命题晋级团队可组成混合评审组，各企业命题团队评奖比例相互独立，互不影响。</w:t>
      </w:r>
    </w:p>
    <w:p w14:paraId="0B5437D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w:t>
      </w:r>
      <w:r>
        <w:rPr>
          <w:rFonts w:hint="eastAsia" w:ascii="微软雅黑" w:hAnsi="微软雅黑" w:eastAsia="微软雅黑" w:cs="微软雅黑"/>
          <w:i w:val="0"/>
          <w:iCs w:val="0"/>
          <w:caps w:val="0"/>
          <w:color w:val="333333"/>
          <w:spacing w:val="0"/>
          <w:sz w:val="32"/>
          <w:szCs w:val="32"/>
          <w:shd w:val="clear" w:fill="F1C40F"/>
        </w:rPr>
        <w:t>“光载信息”专项赛作为技术竞赛的一部分，可与开放赛道或企业赛道同时报名。选报“光载信息”专项赛的团队，参评技术竞赛团队奖的同时，由“光载信息”专项赛专家组评定专项奖。“光载信息”专项奖候选队伍优先从决赛晋级队伍中产生。</w:t>
      </w:r>
    </w:p>
    <w:p w14:paraId="69C03C44">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6．华为6G先进无线技术探索方向，由专家组按评审标准单独组织初赛评审。初赛根据报名团队数量情况，采用线上视频答辩或专家会议评审方式进行。</w:t>
      </w:r>
    </w:p>
    <w:p w14:paraId="591C1C89">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7．现场评审方式要求参赛队携带参赛作品和作品展板于统一时间集中到指定地点，展示作品功能，进行分组答辩。评委根据技术论文、作品展示情况和答辩情况进行评审。</w:t>
      </w:r>
    </w:p>
    <w:p w14:paraId="7E7DCCD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8．会议评审方式不要求参赛队员到达评审现场，评委通过参赛作品的电子文档进行分组评审，必要时针对个别团队组织线上问询。</w:t>
      </w:r>
    </w:p>
    <w:p w14:paraId="6EF3FA4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9．作品答辩分为参赛作品介绍、现场问答二个环节，主要评审参赛作品的创意和创新性、参赛队的整体素质和团体协作能力。</w:t>
      </w:r>
    </w:p>
    <w:p w14:paraId="5B4285A7">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10．初赛和总决赛的评审标准一致。技术竞赛从选题的创意创新与先进性、应用价值、功能完整性、底层软硬件创新设计与作品展示、论文等维度对作品进行评审，以 100 分制进行打分，给出各参赛作品分数，根据作品分数和获奖比例得出获奖结果，参考评分标准如下。</w:t>
      </w:r>
    </w:p>
    <w:p w14:paraId="31E5250A">
      <w:pPr>
        <w:pStyle w:val="2"/>
        <w:keepNext w:val="0"/>
        <w:keepLines w:val="0"/>
        <w:widowControl/>
        <w:suppressLineNumbers w:val="0"/>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ascii="小标宋" w:hAnsi="小标宋" w:eastAsia="小标宋" w:cs="小标宋"/>
          <w:i w:val="0"/>
          <w:iCs w:val="0"/>
          <w:caps w:val="0"/>
          <w:color w:val="333333"/>
          <w:spacing w:val="0"/>
          <w:sz w:val="32"/>
          <w:szCs w:val="32"/>
          <w:shd w:val="clear" w:fill="FFFFFF"/>
        </w:rPr>
        <w:t>第二十届</w:t>
      </w:r>
      <w:r>
        <w:rPr>
          <w:rFonts w:hint="default" w:ascii="小标宋" w:hAnsi="小标宋" w:eastAsia="小标宋" w:cs="小标宋"/>
          <w:i w:val="0"/>
          <w:iCs w:val="0"/>
          <w:caps w:val="0"/>
          <w:color w:val="333333"/>
          <w:spacing w:val="0"/>
          <w:sz w:val="32"/>
          <w:szCs w:val="32"/>
          <w:shd w:val="clear" w:fill="FFFFFF"/>
        </w:rPr>
        <w:t>中国研究生电子设计竞赛技术评审标准</w:t>
      </w:r>
    </w:p>
    <w:tbl>
      <w:tblPr>
        <w:tblW w:w="7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63"/>
        <w:gridCol w:w="5342"/>
        <w:gridCol w:w="987"/>
      </w:tblGrid>
      <w:tr w14:paraId="75CA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6F33A90">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指标</w:t>
            </w:r>
          </w:p>
        </w:tc>
        <w:tc>
          <w:tcPr>
            <w:tcW w:w="6804"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F57EDEC">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333333"/>
                <w:spacing w:val="0"/>
                <w:sz w:val="30"/>
                <w:szCs w:val="30"/>
              </w:rPr>
              <w:t>评审标准</w:t>
            </w:r>
          </w:p>
        </w:tc>
        <w:tc>
          <w:tcPr>
            <w:tcW w:w="1128"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1A91213">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权重</w:t>
            </w:r>
          </w:p>
        </w:tc>
      </w:tr>
      <w:tr w14:paraId="2506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2C09AA">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技术论文</w:t>
            </w: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A79B1BF">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论文结构是否明晰，方案是否合理，重点是否突出，论述是否充分，写作是否规范</w:t>
            </w:r>
          </w:p>
        </w:tc>
        <w:tc>
          <w:tcPr>
            <w:tcW w:w="112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8AC5F38">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10</w:t>
            </w:r>
          </w:p>
        </w:tc>
      </w:tr>
      <w:tr w14:paraId="506A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71C5EA0">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作品展示与功能完整性</w:t>
            </w: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21E405">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演讲主题是否突出，逻辑是否清晰，功能／性能演示是否成功，回答问题是否正确</w:t>
            </w:r>
          </w:p>
        </w:tc>
        <w:tc>
          <w:tcPr>
            <w:tcW w:w="1128"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BF0DE16">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30</w:t>
            </w:r>
          </w:p>
        </w:tc>
      </w:tr>
      <w:tr w14:paraId="0AF8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vMerge w:val="continue"/>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DD4CC06">
            <w:pPr>
              <w:rPr>
                <w:rFonts w:hint="default" w:ascii="Times New Roman" w:hAnsi="Times New Roman" w:cs="Times New Roman"/>
                <w:i w:val="0"/>
                <w:iCs w:val="0"/>
                <w:caps w:val="0"/>
                <w:color w:val="333333"/>
                <w:spacing w:val="0"/>
                <w:sz w:val="15"/>
                <w:szCs w:val="15"/>
              </w:rPr>
            </w:pP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534CFA69">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作品是否具有系统思维，功能是否完整</w:t>
            </w:r>
          </w:p>
        </w:tc>
        <w:tc>
          <w:tcPr>
            <w:tcW w:w="1128" w:type="dxa"/>
            <w:vMerge w:val="continue"/>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B0F75D">
            <w:pPr>
              <w:rPr>
                <w:rFonts w:hint="default" w:ascii="Times New Roman" w:hAnsi="Times New Roman" w:cs="Times New Roman"/>
                <w:i w:val="0"/>
                <w:iCs w:val="0"/>
                <w:caps w:val="0"/>
                <w:color w:val="333333"/>
                <w:spacing w:val="0"/>
                <w:sz w:val="15"/>
                <w:szCs w:val="15"/>
              </w:rPr>
            </w:pPr>
          </w:p>
        </w:tc>
      </w:tr>
      <w:tr w14:paraId="435E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3CEA2B84">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创新/创意</w:t>
            </w: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DB77D2B">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作品的设计思路、功能、性能等方面是否有突破性和创新性，创意是否新颖，鼓励底层硬件与软件创新设计</w:t>
            </w:r>
          </w:p>
        </w:tc>
        <w:tc>
          <w:tcPr>
            <w:tcW w:w="1128" w:type="dxa"/>
            <w:vMerge w:val="restart"/>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0367135F">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40</w:t>
            </w:r>
          </w:p>
        </w:tc>
      </w:tr>
      <w:tr w14:paraId="1109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vMerge w:val="continue"/>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C87E0F">
            <w:pPr>
              <w:rPr>
                <w:rFonts w:hint="default" w:ascii="Times New Roman" w:hAnsi="Times New Roman" w:cs="Times New Roman"/>
                <w:i w:val="0"/>
                <w:iCs w:val="0"/>
                <w:caps w:val="0"/>
                <w:color w:val="333333"/>
                <w:spacing w:val="0"/>
                <w:sz w:val="15"/>
                <w:szCs w:val="15"/>
              </w:rPr>
            </w:pP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1CA4A6DD">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设计内容、技术方法、理论模型等是否具有先进性</w:t>
            </w:r>
          </w:p>
        </w:tc>
        <w:tc>
          <w:tcPr>
            <w:tcW w:w="1128" w:type="dxa"/>
            <w:vMerge w:val="continue"/>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F68E5CE">
            <w:pPr>
              <w:rPr>
                <w:rFonts w:hint="default" w:ascii="Times New Roman" w:hAnsi="Times New Roman" w:cs="Times New Roman"/>
                <w:i w:val="0"/>
                <w:iCs w:val="0"/>
                <w:caps w:val="0"/>
                <w:color w:val="333333"/>
                <w:spacing w:val="0"/>
                <w:sz w:val="15"/>
                <w:szCs w:val="15"/>
              </w:rPr>
            </w:pPr>
          </w:p>
        </w:tc>
      </w:tr>
      <w:tr w14:paraId="6EB4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423134A0">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应用价值</w:t>
            </w: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08CC37E">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作品是否具有可行性和可靠性，是否切实解决了实际问题，是否具有广阔的应用前景或推广意义</w:t>
            </w:r>
          </w:p>
        </w:tc>
        <w:tc>
          <w:tcPr>
            <w:tcW w:w="112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F0A8F1">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20</w:t>
            </w:r>
          </w:p>
        </w:tc>
      </w:tr>
      <w:tr w14:paraId="39F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6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8D52FD4">
            <w:pPr>
              <w:pStyle w:val="2"/>
              <w:keepNext w:val="0"/>
              <w:keepLines w:val="0"/>
              <w:widowControl/>
              <w:suppressLineNumbers w:val="0"/>
              <w:spacing w:before="48" w:beforeAutospacing="0" w:after="204" w:afterAutospacing="0"/>
              <w:ind w:left="0" w:right="84" w:firstLine="0"/>
            </w:pPr>
            <w:r>
              <w:rPr>
                <w:rFonts w:hint="eastAsia" w:ascii="微软雅黑" w:hAnsi="微软雅黑" w:eastAsia="微软雅黑" w:cs="微软雅黑"/>
                <w:i w:val="0"/>
                <w:iCs w:val="0"/>
                <w:caps w:val="0"/>
                <w:color w:val="333333"/>
                <w:spacing w:val="0"/>
                <w:sz w:val="30"/>
                <w:szCs w:val="30"/>
              </w:rPr>
              <w:t>总分</w:t>
            </w:r>
          </w:p>
        </w:tc>
        <w:tc>
          <w:tcPr>
            <w:tcW w:w="6804"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6F189338">
            <w:pPr>
              <w:pStyle w:val="2"/>
              <w:keepNext w:val="0"/>
              <w:keepLines w:val="0"/>
              <w:widowControl/>
              <w:suppressLineNumbers w:val="0"/>
              <w:spacing w:before="0" w:beforeAutospacing="0" w:after="204" w:afterAutospacing="0"/>
              <w:ind w:left="0" w:right="84"/>
            </w:pPr>
            <w:r>
              <w:rPr>
                <w:rFonts w:hint="default" w:ascii="Times New Roman" w:hAnsi="Times New Roman" w:cs="Times New Roman"/>
                <w:i w:val="0"/>
                <w:iCs w:val="0"/>
                <w:caps w:val="0"/>
                <w:color w:val="333333"/>
                <w:spacing w:val="0"/>
                <w:sz w:val="15"/>
                <w:szCs w:val="15"/>
              </w:rPr>
              <w:t> </w:t>
            </w:r>
          </w:p>
        </w:tc>
        <w:tc>
          <w:tcPr>
            <w:tcW w:w="1128" w:type="dxa"/>
            <w:tcBorders>
              <w:top w:val="nil"/>
              <w:left w:val="single" w:color="000000" w:sz="4" w:space="0"/>
              <w:bottom w:val="single" w:color="000000" w:sz="4" w:space="0"/>
              <w:right w:val="single" w:color="000000" w:sz="4" w:space="0"/>
            </w:tcBorders>
            <w:shd w:val="clear" w:color="auto" w:fill="FFFFFF"/>
            <w:tcMar>
              <w:top w:w="0" w:type="dxa"/>
              <w:left w:w="0" w:type="dxa"/>
              <w:bottom w:w="0" w:type="dxa"/>
              <w:right w:w="0" w:type="dxa"/>
            </w:tcMar>
            <w:vAlign w:val="center"/>
          </w:tcPr>
          <w:p w14:paraId="7E2DBA5D">
            <w:pPr>
              <w:pStyle w:val="2"/>
              <w:keepNext w:val="0"/>
              <w:keepLines w:val="0"/>
              <w:widowControl/>
              <w:suppressLineNumbers w:val="0"/>
              <w:spacing w:before="0" w:beforeAutospacing="0" w:after="120" w:afterAutospacing="0"/>
              <w:ind w:left="0" w:right="0"/>
              <w:jc w:val="both"/>
            </w:pPr>
            <w:r>
              <w:rPr>
                <w:rFonts w:hint="eastAsia" w:ascii="微软雅黑" w:hAnsi="微软雅黑" w:eastAsia="微软雅黑" w:cs="微软雅黑"/>
                <w:i w:val="0"/>
                <w:iCs w:val="0"/>
                <w:caps w:val="0"/>
                <w:color w:val="333333"/>
                <w:spacing w:val="0"/>
                <w:sz w:val="30"/>
                <w:szCs w:val="30"/>
              </w:rPr>
              <w:t>100</w:t>
            </w:r>
          </w:p>
        </w:tc>
      </w:tr>
    </w:tbl>
    <w:p w14:paraId="21478C39">
      <w:pPr>
        <w:pStyle w:val="2"/>
        <w:keepNext w:val="0"/>
        <w:keepLines w:val="0"/>
        <w:widowControl/>
        <w:suppressLineNumbers w:val="0"/>
        <w:shd w:val="clear" w:fill="FFFFFF"/>
        <w:spacing w:before="0" w:beforeAutospacing="0" w:after="120" w:afterAutospacing="0"/>
        <w:ind w:left="-180" w:right="0" w:firstLine="640"/>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11． 商业计划书专项赛从商业文本、团队价值、项目价值和商业价值等维度对作品进行评审，参考评分标准如下：</w:t>
      </w:r>
    </w:p>
    <w:tbl>
      <w:tblPr>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01"/>
        <w:gridCol w:w="1694"/>
        <w:gridCol w:w="4661"/>
        <w:gridCol w:w="918"/>
      </w:tblGrid>
      <w:tr w14:paraId="1E7B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6E154191">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类别</w:t>
            </w:r>
          </w:p>
        </w:tc>
        <w:tc>
          <w:tcPr>
            <w:tcW w:w="2100"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675675DA">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指标</w:t>
            </w:r>
          </w:p>
        </w:tc>
        <w:tc>
          <w:tcPr>
            <w:tcW w:w="5856"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10B42393">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评审标准</w:t>
            </w:r>
          </w:p>
        </w:tc>
        <w:tc>
          <w:tcPr>
            <w:tcW w:w="1116" w:type="dxa"/>
            <w:tcBorders>
              <w:top w:val="single" w:color="000000" w:sz="4" w:space="0"/>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5E4FF915">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权重</w:t>
            </w:r>
          </w:p>
        </w:tc>
      </w:tr>
      <w:tr w14:paraId="326C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4AD02B35">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商业文本</w:t>
            </w:r>
          </w:p>
        </w:tc>
        <w:tc>
          <w:tcPr>
            <w:tcW w:w="21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2F94FF4A">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商业计划书</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7FEEB624">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商业计划书结构清晰，逻辑严密，重点突出，经营模式新颖，具有较大商业价值。</w:t>
            </w:r>
          </w:p>
        </w:tc>
        <w:tc>
          <w:tcPr>
            <w:tcW w:w="1116"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6510A3F3">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10</w:t>
            </w:r>
          </w:p>
        </w:tc>
      </w:tr>
      <w:tr w14:paraId="5FCD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5983DFA9">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团队价值</w:t>
            </w:r>
          </w:p>
        </w:tc>
        <w:tc>
          <w:tcPr>
            <w:tcW w:w="21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38DD94C7">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创业团队</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1AC7EF54">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团队成员具有核心技术背景，团队分工合理、能力互补。公司组织结构清晰，团队产权及股权划分明确。</w:t>
            </w:r>
          </w:p>
        </w:tc>
        <w:tc>
          <w:tcPr>
            <w:tcW w:w="1116"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447C5346">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20</w:t>
            </w:r>
          </w:p>
        </w:tc>
      </w:tr>
      <w:tr w14:paraId="3162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restart"/>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6622913F">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项目价值</w:t>
            </w: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5CBCC52E">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创新性</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3A847FE5">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项目的设计思路、功能、性能等方面有突破性和创新性，设计内容、技术方法、理论模型等具有先进性。鼓励项目与高校科技成果转移转化结合，取得一定数量和质量的创新成果。</w:t>
            </w:r>
          </w:p>
        </w:tc>
        <w:tc>
          <w:tcPr>
            <w:tcW w:w="1116" w:type="dxa"/>
            <w:vMerge w:val="restart"/>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37D65E9C">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40</w:t>
            </w:r>
          </w:p>
        </w:tc>
      </w:tr>
      <w:tr w14:paraId="0CAB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476"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080E81E5">
            <w:pPr>
              <w:rPr>
                <w:rFonts w:hint="default" w:ascii="Times New Roman" w:hAnsi="Times New Roman" w:cs="Times New Roman"/>
                <w:i w:val="0"/>
                <w:iCs w:val="0"/>
                <w:caps w:val="0"/>
                <w:color w:val="333333"/>
                <w:spacing w:val="0"/>
                <w:sz w:val="15"/>
                <w:szCs w:val="15"/>
              </w:rPr>
            </w:pP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5EEA8893">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应用价值</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7984E55A">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项目具有可行性和可靠性，切实解决了实际问题，具有广阔的应用前景或推广意义，具有一定的技术、资源壁垒。</w:t>
            </w:r>
          </w:p>
        </w:tc>
        <w:tc>
          <w:tcPr>
            <w:tcW w:w="1116" w:type="dxa"/>
            <w:vMerge w:val="continue"/>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62DE0790">
            <w:pPr>
              <w:rPr>
                <w:rFonts w:hint="default" w:ascii="Times New Roman" w:hAnsi="Times New Roman" w:cs="Times New Roman"/>
                <w:i w:val="0"/>
                <w:iCs w:val="0"/>
                <w:caps w:val="0"/>
                <w:color w:val="333333"/>
                <w:spacing w:val="0"/>
                <w:sz w:val="15"/>
                <w:szCs w:val="15"/>
              </w:rPr>
            </w:pPr>
          </w:p>
        </w:tc>
      </w:tr>
      <w:tr w14:paraId="3D38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restart"/>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12B84387">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商业价值</w:t>
            </w: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7C20A708">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市场及竞争分析</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38E86666">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市场分析数据完整，调查研究深入详实，科学、客观的结合自身项目准确把握市场发展趋势，明确比较同类项目与自身项目的优势与不足。</w:t>
            </w:r>
          </w:p>
        </w:tc>
        <w:tc>
          <w:tcPr>
            <w:tcW w:w="1116" w:type="dxa"/>
            <w:vMerge w:val="restart"/>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0C68CDEF">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30</w:t>
            </w:r>
          </w:p>
        </w:tc>
      </w:tr>
      <w:tr w14:paraId="288D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226F0D2A">
            <w:pPr>
              <w:rPr>
                <w:rFonts w:hint="default" w:ascii="Times New Roman" w:hAnsi="Times New Roman" w:cs="Times New Roman"/>
                <w:i w:val="0"/>
                <w:iCs w:val="0"/>
                <w:caps w:val="0"/>
                <w:color w:val="333333"/>
                <w:spacing w:val="0"/>
                <w:sz w:val="15"/>
                <w:szCs w:val="15"/>
              </w:rPr>
            </w:pP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56E87DCC">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经营管理</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7927B643">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开发状态和目标规划合理，操作周期和实施计划恰当，重点明确，对经营难度和资源要求分析准确。项目发展战略和规模扩张策略合理可行。</w:t>
            </w:r>
          </w:p>
        </w:tc>
        <w:tc>
          <w:tcPr>
            <w:tcW w:w="1116" w:type="dxa"/>
            <w:vMerge w:val="continue"/>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7D4F5D7B">
            <w:pPr>
              <w:rPr>
                <w:rFonts w:hint="default" w:ascii="Times New Roman" w:hAnsi="Times New Roman" w:cs="Times New Roman"/>
                <w:i w:val="0"/>
                <w:iCs w:val="0"/>
                <w:caps w:val="0"/>
                <w:color w:val="333333"/>
                <w:spacing w:val="0"/>
                <w:sz w:val="15"/>
                <w:szCs w:val="15"/>
              </w:rPr>
            </w:pPr>
          </w:p>
        </w:tc>
      </w:tr>
      <w:tr w14:paraId="2449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5FCA01BE">
            <w:pPr>
              <w:rPr>
                <w:rFonts w:hint="default" w:ascii="Times New Roman" w:hAnsi="Times New Roman" w:cs="Times New Roman"/>
                <w:i w:val="0"/>
                <w:iCs w:val="0"/>
                <w:caps w:val="0"/>
                <w:color w:val="333333"/>
                <w:spacing w:val="0"/>
                <w:sz w:val="15"/>
                <w:szCs w:val="15"/>
              </w:rPr>
            </w:pPr>
          </w:p>
        </w:tc>
        <w:tc>
          <w:tcPr>
            <w:tcW w:w="2100" w:type="dxa"/>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247AC27C">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营销策略</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5AB0F5D3">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营销策略具有创新性，对受众具有潜在吸引力，成本及定价合理，营销渠道顺畅，具有一定的可执行性。</w:t>
            </w:r>
          </w:p>
        </w:tc>
        <w:tc>
          <w:tcPr>
            <w:tcW w:w="1116" w:type="dxa"/>
            <w:vMerge w:val="continue"/>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0A1AD360">
            <w:pPr>
              <w:rPr>
                <w:rFonts w:hint="default" w:ascii="Times New Roman" w:hAnsi="Times New Roman" w:cs="Times New Roman"/>
                <w:i w:val="0"/>
                <w:iCs w:val="0"/>
                <w:caps w:val="0"/>
                <w:color w:val="333333"/>
                <w:spacing w:val="0"/>
                <w:sz w:val="15"/>
                <w:szCs w:val="15"/>
              </w:rPr>
            </w:pPr>
          </w:p>
        </w:tc>
      </w:tr>
      <w:tr w14:paraId="1938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37F12013">
            <w:pPr>
              <w:rPr>
                <w:rFonts w:hint="default" w:ascii="Times New Roman" w:hAnsi="Times New Roman" w:cs="Times New Roman"/>
                <w:i w:val="0"/>
                <w:iCs w:val="0"/>
                <w:caps w:val="0"/>
                <w:color w:val="333333"/>
                <w:spacing w:val="0"/>
                <w:sz w:val="15"/>
                <w:szCs w:val="15"/>
              </w:rPr>
            </w:pP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25C5FC89">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融资方案与回报</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3A249352">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融资方案具有合理性与吸引力，回报率与回报周期明确。</w:t>
            </w:r>
          </w:p>
        </w:tc>
        <w:tc>
          <w:tcPr>
            <w:tcW w:w="1116" w:type="dxa"/>
            <w:vMerge w:val="continue"/>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55E1C355">
            <w:pPr>
              <w:rPr>
                <w:rFonts w:hint="default" w:ascii="Times New Roman" w:hAnsi="Times New Roman" w:cs="Times New Roman"/>
                <w:i w:val="0"/>
                <w:iCs w:val="0"/>
                <w:caps w:val="0"/>
                <w:color w:val="333333"/>
                <w:spacing w:val="0"/>
                <w:sz w:val="15"/>
                <w:szCs w:val="15"/>
              </w:rPr>
            </w:pPr>
          </w:p>
        </w:tc>
      </w:tr>
      <w:tr w14:paraId="6997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476" w:type="dxa"/>
            <w:vMerge w:val="continue"/>
            <w:tcBorders>
              <w:top w:val="nil"/>
              <w:left w:val="single" w:color="000000" w:sz="4" w:space="0"/>
              <w:bottom w:val="single" w:color="000000" w:sz="4" w:space="0"/>
              <w:right w:val="single" w:color="000000" w:sz="4" w:space="0"/>
            </w:tcBorders>
            <w:shd w:val="clear" w:color="auto" w:fill="FFFFFF"/>
            <w:noWrap/>
            <w:tcMar>
              <w:top w:w="0" w:type="dxa"/>
              <w:left w:w="84" w:type="dxa"/>
              <w:bottom w:w="0" w:type="dxa"/>
              <w:right w:w="84" w:type="dxa"/>
            </w:tcMar>
            <w:vAlign w:val="center"/>
          </w:tcPr>
          <w:p w14:paraId="17C1E5B8">
            <w:pPr>
              <w:rPr>
                <w:rFonts w:hint="default" w:ascii="Times New Roman" w:hAnsi="Times New Roman" w:cs="Times New Roman"/>
                <w:i w:val="0"/>
                <w:iCs w:val="0"/>
                <w:caps w:val="0"/>
                <w:color w:val="333333"/>
                <w:spacing w:val="0"/>
                <w:sz w:val="15"/>
                <w:szCs w:val="15"/>
              </w:rPr>
            </w:pPr>
          </w:p>
        </w:tc>
        <w:tc>
          <w:tcPr>
            <w:tcW w:w="2100"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181775B5">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盈利模式、经济及财务状况</w:t>
            </w:r>
          </w:p>
        </w:tc>
        <w:tc>
          <w:tcPr>
            <w:tcW w:w="5856" w:type="dxa"/>
            <w:tcBorders>
              <w:top w:val="nil"/>
              <w:left w:val="nil"/>
              <w:bottom w:val="single" w:color="000000" w:sz="4" w:space="0"/>
              <w:right w:val="single" w:color="000000" w:sz="4" w:space="0"/>
            </w:tcBorders>
            <w:shd w:val="clear" w:color="auto" w:fill="FFFFFF"/>
            <w:tcMar>
              <w:top w:w="0" w:type="dxa"/>
              <w:left w:w="84" w:type="dxa"/>
              <w:bottom w:w="0" w:type="dxa"/>
              <w:right w:w="84" w:type="dxa"/>
            </w:tcMar>
            <w:vAlign w:val="center"/>
          </w:tcPr>
          <w:p w14:paraId="30AA8410">
            <w:pPr>
              <w:pStyle w:val="2"/>
              <w:keepNext w:val="0"/>
              <w:keepLines w:val="0"/>
              <w:widowControl/>
              <w:suppressLineNumbers w:val="0"/>
              <w:spacing w:before="0" w:beforeAutospacing="0" w:after="120" w:afterAutospacing="0"/>
              <w:ind w:left="0" w:right="0"/>
              <w:jc w:val="center"/>
            </w:pPr>
            <w:r>
              <w:rPr>
                <w:rFonts w:hint="eastAsia" w:ascii="微软雅黑" w:hAnsi="微软雅黑" w:eastAsia="微软雅黑" w:cs="微软雅黑"/>
                <w:i w:val="0"/>
                <w:iCs w:val="0"/>
                <w:caps w:val="0"/>
                <w:color w:val="000000"/>
                <w:spacing w:val="0"/>
                <w:sz w:val="30"/>
                <w:szCs w:val="30"/>
              </w:rPr>
              <w:t>盈利模式可行，关键财务因素、指标、报表与计划合理。</w:t>
            </w:r>
          </w:p>
        </w:tc>
        <w:tc>
          <w:tcPr>
            <w:tcW w:w="1116" w:type="dxa"/>
            <w:vMerge w:val="continue"/>
            <w:tcBorders>
              <w:top w:val="nil"/>
              <w:left w:val="nil"/>
              <w:bottom w:val="single" w:color="000000" w:sz="4" w:space="0"/>
              <w:right w:val="single" w:color="000000" w:sz="4" w:space="0"/>
            </w:tcBorders>
            <w:shd w:val="clear" w:color="auto" w:fill="FFFFFF"/>
            <w:noWrap/>
            <w:tcMar>
              <w:top w:w="0" w:type="dxa"/>
              <w:left w:w="84" w:type="dxa"/>
              <w:bottom w:w="0" w:type="dxa"/>
              <w:right w:w="84" w:type="dxa"/>
            </w:tcMar>
            <w:vAlign w:val="center"/>
          </w:tcPr>
          <w:p w14:paraId="446FB30C">
            <w:pPr>
              <w:rPr>
                <w:rFonts w:hint="default" w:ascii="Times New Roman" w:hAnsi="Times New Roman" w:cs="Times New Roman"/>
                <w:i w:val="0"/>
                <w:iCs w:val="0"/>
                <w:caps w:val="0"/>
                <w:color w:val="333333"/>
                <w:spacing w:val="0"/>
                <w:sz w:val="15"/>
                <w:szCs w:val="15"/>
              </w:rPr>
            </w:pPr>
          </w:p>
        </w:tc>
      </w:tr>
    </w:tbl>
    <w:p w14:paraId="44C4800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12．技术竞赛初赛由分赛区承办单位组织评审；商业计划书专项赛初赛由承办单位上海新微科技发展有限公司组织投资机构评委进行评审。</w:t>
      </w:r>
    </w:p>
    <w:p w14:paraId="1EB1C88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13．评委采用本校回避原则，不参评自己学校的参赛作品。评审期间，要求所有评委关闭手机等通讯工具，不接受任何单位或个人的干预。</w:t>
      </w:r>
    </w:p>
    <w:p w14:paraId="20137A0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14．评审采用协商一致的原则，评委意见无法一致时采用无记名投票方法决定结果。</w:t>
      </w:r>
    </w:p>
    <w:p w14:paraId="6661F1F2">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15．为实现评审的公平性，除技术论文封面外，团队名称、论文正文、演示PPT、门型展架、演示视频等内容及文件命名均不允许人为出现导师姓名及学校名称信息，一经发现将取消参赛资格，参考文献不要求匿名。</w:t>
      </w:r>
    </w:p>
    <w:p w14:paraId="79D4C70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16．商业计划书专项赛中，团队信息作为商业投资价值的评审依据之一，不做上述匿名要求。</w:t>
      </w:r>
    </w:p>
    <w:p w14:paraId="18AF752B">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17．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w:t>
      </w:r>
    </w:p>
    <w:p w14:paraId="00E410F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18．如参赛队对评审结果有异议，可由经过所在单位研究生主管部门授权的领队老师代表所在单位和参赛队向组委会秘书处提交书面质询申请。监督和仲裁委员会组织对技术类竞赛设质询申请进行调查和仲裁，并给出仲裁结果，仲裁结果作为最终评审结果。质询申请和审核仲裁应在争议期内提出和处理。</w:t>
      </w:r>
    </w:p>
    <w:p w14:paraId="5AA66B49">
      <w:pPr>
        <w:pStyle w:val="2"/>
        <w:keepNext w:val="0"/>
        <w:keepLines w:val="0"/>
        <w:widowControl/>
        <w:suppressLineNumbers w:val="0"/>
        <w:shd w:val="clear" w:fill="FFFFFF"/>
        <w:spacing w:before="0" w:beforeAutospacing="0" w:after="120" w:afterAutospacing="0"/>
        <w:ind w:left="0" w:right="0" w:firstLine="616"/>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6"/>
          <w:sz w:val="32"/>
          <w:szCs w:val="32"/>
          <w:shd w:val="clear" w:fill="FFFFFF"/>
        </w:rPr>
        <w:t>九、奖项设置和奖励办法</w:t>
      </w:r>
    </w:p>
    <w:p w14:paraId="5D344E1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各分赛区设团队一等奖、二等奖、三等奖，优秀指导老师奖及优秀组织单位。商业计划书专项赛初赛设团队一等奖、二等奖、三等奖，优秀指导老师奖以及优秀组织单位。技术竞赛初赛一等奖获奖比例不超过20%，二等奖获奖比例不超过30%，三等奖获奖比例不超过30%；提交参赛作品不完整，不合规的，将直接淘汰不予评奖。</w:t>
      </w:r>
    </w:p>
    <w:p w14:paraId="7BF71C4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2．技术竞赛初赛获得一等奖的部分参赛队获得决赛晋级资格，技术竞赛与商业计划书专项赛晋级比例根据报名情况确定。初赛成绩公布后，未获得初赛奖项的参赛团队，可通过官网下载成功参赛证明。</w:t>
      </w:r>
    </w:p>
    <w:p w14:paraId="3E23A34A">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3．竞赛在各赛区固定晋级比例基础上，增设40名决赛动态晋级名额，结合各赛区报名团队总数及2024年全国总决赛一、二等奖获奖率与平均获奖率偏差情况等因素，加权计算，动态分配40名晋级决赛名额，动态晋级名额数量于报名截止后公布。</w:t>
      </w:r>
    </w:p>
    <w:p w14:paraId="55EC93F2">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4．全国总决赛中，技术竞赛设团队一等奖、二等奖、三等奖、“研电之星”团队奖、最佳团体奖、优秀组织单位、优秀指导教师奖、企业专项奖等奖项。商业计划书专项赛设团队一等奖、二等奖、三等奖、优秀指导教师奖、优秀组织单位、最具商业价值奖、最佳路演奖等奖项。</w:t>
      </w:r>
    </w:p>
    <w:p w14:paraId="49D677F0">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5．全国总决赛中，技术竞赛团队一等奖、二等奖、三等奖原则上分别按照进入决赛团队的 25%、35%、40%的比例评奖。商业计划书团队一等奖、二等奖、三等奖原则上分别按照进入决赛团队的20%、35%、45%的比例评奖。</w:t>
      </w:r>
    </w:p>
    <w:p w14:paraId="2E67341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6．技术类竞赛设“研电之星”团队奖，取“研电之星挑战赛”的前三名，并颁发“研电之星”团队奖杯。</w:t>
      </w:r>
    </w:p>
    <w:p w14:paraId="55E9213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7．技术类竞赛设“光载信息”专项奖十名，总分最高团队直接入围“研电之星”挑战赛。</w:t>
      </w:r>
    </w:p>
    <w:p w14:paraId="6EC0C8AC">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8．最佳团体奖，取参赛高校团体总分第一名，并颁发“兆易创新杯”团体奖奖杯，积分办法如下。</w:t>
      </w:r>
    </w:p>
    <w:p w14:paraId="63530020">
      <w:pPr>
        <w:pStyle w:val="2"/>
        <w:keepNext w:val="0"/>
        <w:keepLines w:val="0"/>
        <w:widowControl/>
        <w:suppressLineNumbers w:val="0"/>
        <w:shd w:val="clear" w:fill="FFFFFF"/>
        <w:spacing w:before="0" w:beforeAutospacing="0" w:after="204" w:afterAutospacing="0"/>
        <w:ind w:left="0" w:right="84" w:firstLine="0"/>
        <w:jc w:val="center"/>
        <w:rPr>
          <w:rFonts w:hint="eastAsia" w:ascii="微软雅黑" w:hAnsi="微软雅黑" w:eastAsia="微软雅黑" w:cs="微软雅黑"/>
          <w:i w:val="0"/>
          <w:iCs w:val="0"/>
          <w:caps w:val="0"/>
          <w:color w:val="333333"/>
          <w:spacing w:val="0"/>
          <w:sz w:val="19"/>
          <w:szCs w:val="19"/>
        </w:rPr>
      </w:pPr>
      <w:r>
        <w:rPr>
          <w:rFonts w:ascii="黑体" w:hAnsi="宋体" w:eastAsia="黑体" w:cs="黑体"/>
          <w:b w:val="0"/>
          <w:bCs w:val="0"/>
          <w:i w:val="0"/>
          <w:iCs w:val="0"/>
          <w:caps w:val="0"/>
          <w:color w:val="333333"/>
          <w:spacing w:val="-5"/>
          <w:sz w:val="30"/>
          <w:szCs w:val="30"/>
          <w:shd w:val="clear" w:fill="FFFFFF"/>
        </w:rPr>
        <w:t>第二十届中国研究生电子设计竞赛高校团体总分积分标准</w:t>
      </w:r>
    </w:p>
    <w:tbl>
      <w:tblPr>
        <w:tblW w:w="6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395"/>
        <w:gridCol w:w="2565"/>
      </w:tblGrid>
      <w:tr w14:paraId="04B2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5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8AF972D">
            <w:pPr>
              <w:pStyle w:val="2"/>
              <w:keepNext w:val="0"/>
              <w:keepLines w:val="0"/>
              <w:widowControl/>
              <w:suppressLineNumbers w:val="0"/>
              <w:spacing w:before="0" w:beforeAutospacing="0" w:after="204" w:afterAutospacing="0"/>
              <w:ind w:left="0" w:right="84"/>
              <w:jc w:val="center"/>
            </w:pPr>
            <w:r>
              <w:rPr>
                <w:rFonts w:hint="eastAsia" w:ascii="黑体" w:hAnsi="宋体" w:eastAsia="黑体" w:cs="黑体"/>
                <w:i w:val="0"/>
                <w:iCs w:val="0"/>
                <w:caps w:val="0"/>
                <w:color w:val="000000"/>
                <w:spacing w:val="0"/>
                <w:sz w:val="30"/>
                <w:szCs w:val="30"/>
              </w:rPr>
              <w:t>奖项</w:t>
            </w:r>
          </w:p>
        </w:tc>
        <w:tc>
          <w:tcPr>
            <w:tcW w:w="31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8E07D07">
            <w:pPr>
              <w:pStyle w:val="2"/>
              <w:keepNext w:val="0"/>
              <w:keepLines w:val="0"/>
              <w:widowControl/>
              <w:suppressLineNumbers w:val="0"/>
              <w:spacing w:before="0" w:beforeAutospacing="0" w:after="204" w:afterAutospacing="0"/>
              <w:ind w:left="0" w:right="84"/>
              <w:jc w:val="center"/>
            </w:pPr>
            <w:r>
              <w:rPr>
                <w:rFonts w:hint="eastAsia" w:ascii="黑体" w:hAnsi="宋体" w:eastAsia="黑体" w:cs="黑体"/>
                <w:i w:val="0"/>
                <w:iCs w:val="0"/>
                <w:caps w:val="0"/>
                <w:color w:val="000000"/>
                <w:spacing w:val="0"/>
                <w:sz w:val="30"/>
                <w:szCs w:val="30"/>
              </w:rPr>
              <w:t>分值</w:t>
            </w:r>
          </w:p>
        </w:tc>
      </w:tr>
      <w:tr w14:paraId="5BBE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15692DAD">
            <w:pPr>
              <w:pStyle w:val="2"/>
              <w:keepNext w:val="0"/>
              <w:keepLines w:val="0"/>
              <w:widowControl/>
              <w:suppressLineNumbers w:val="0"/>
              <w:spacing w:before="0" w:beforeAutospacing="0" w:after="204" w:afterAutospacing="0"/>
              <w:ind w:left="0" w:right="84"/>
              <w:jc w:val="center"/>
            </w:pPr>
            <w:r>
              <w:rPr>
                <w:rFonts w:ascii="仿宋_GB2312" w:hAnsi="仿宋" w:eastAsia="仿宋_GB2312" w:cs="仿宋_GB2312"/>
                <w:i w:val="0"/>
                <w:iCs w:val="0"/>
                <w:caps w:val="0"/>
                <w:color w:val="000000"/>
                <w:spacing w:val="0"/>
                <w:sz w:val="30"/>
                <w:szCs w:val="30"/>
              </w:rPr>
              <w:t>“研电之星”</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BEC31B3">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一等奖基础上加6分</w:t>
            </w:r>
          </w:p>
        </w:tc>
      </w:tr>
      <w:tr w14:paraId="3169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11519BE4">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技术类竞赛一等奖（企业命题）</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EC71B72">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12分（15分）</w:t>
            </w:r>
          </w:p>
        </w:tc>
      </w:tr>
      <w:tr w14:paraId="2F98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3A352FA2">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技术类竞赛二等奖（企业命题）</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C3094E1">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6分（8分）</w:t>
            </w:r>
          </w:p>
        </w:tc>
      </w:tr>
      <w:tr w14:paraId="1D0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33978B1">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技术类竞赛三等奖（企业命题）</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576BEA4">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1分（2分）</w:t>
            </w:r>
          </w:p>
        </w:tc>
      </w:tr>
      <w:tr w14:paraId="48A1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B0D0AD3">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商业计划书一等奖</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5EFF0B04">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8分</w:t>
            </w:r>
          </w:p>
        </w:tc>
      </w:tr>
      <w:tr w14:paraId="058E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9740AFB">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商业计划书二等奖</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8A28221">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4分</w:t>
            </w:r>
          </w:p>
        </w:tc>
      </w:tr>
      <w:tr w14:paraId="7FA4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593822D">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商业计划书三等奖</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71EA7214">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1分</w:t>
            </w:r>
          </w:p>
        </w:tc>
      </w:tr>
      <w:tr w14:paraId="5103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0129D7D">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“光载信息”专项奖</w:t>
            </w:r>
          </w:p>
        </w:tc>
        <w:tc>
          <w:tcPr>
            <w:tcW w:w="31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062656AA">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3分</w:t>
            </w:r>
          </w:p>
        </w:tc>
      </w:tr>
      <w:tr w14:paraId="14C1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2C2C30ED">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最佳路演奖</w:t>
            </w:r>
          </w:p>
        </w:tc>
        <w:tc>
          <w:tcPr>
            <w:tcW w:w="3144" w:type="dxa"/>
            <w:vMerge w:val="restart"/>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E1E2A56">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1分</w:t>
            </w:r>
          </w:p>
        </w:tc>
      </w:tr>
      <w:tr w14:paraId="1AA0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544" w:type="dxa"/>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62A9C4FC">
            <w:pPr>
              <w:pStyle w:val="2"/>
              <w:keepNext w:val="0"/>
              <w:keepLines w:val="0"/>
              <w:widowControl/>
              <w:suppressLineNumbers w:val="0"/>
              <w:spacing w:before="0" w:beforeAutospacing="0" w:after="204" w:afterAutospacing="0"/>
              <w:ind w:left="0" w:right="84"/>
              <w:jc w:val="center"/>
            </w:pPr>
            <w:r>
              <w:rPr>
                <w:rFonts w:hint="default" w:ascii="仿宋_GB2312" w:hAnsi="仿宋" w:eastAsia="仿宋_GB2312" w:cs="仿宋_GB2312"/>
                <w:i w:val="0"/>
                <w:iCs w:val="0"/>
                <w:caps w:val="0"/>
                <w:color w:val="000000"/>
                <w:spacing w:val="0"/>
                <w:sz w:val="30"/>
                <w:szCs w:val="30"/>
              </w:rPr>
              <w:t>最具商业价值奖</w:t>
            </w:r>
          </w:p>
        </w:tc>
        <w:tc>
          <w:tcPr>
            <w:tcW w:w="3144" w:type="dxa"/>
            <w:vMerge w:val="continue"/>
            <w:tcBorders>
              <w:top w:val="nil"/>
              <w:left w:val="single" w:color="000000" w:sz="4" w:space="0"/>
              <w:bottom w:val="single" w:color="000000" w:sz="4" w:space="0"/>
              <w:right w:val="single" w:color="000000" w:sz="4" w:space="0"/>
            </w:tcBorders>
            <w:shd w:val="clear" w:color="auto" w:fill="FFFFFF"/>
            <w:tcMar>
              <w:top w:w="12" w:type="dxa"/>
              <w:left w:w="12" w:type="dxa"/>
              <w:bottom w:w="12" w:type="dxa"/>
              <w:right w:w="12" w:type="dxa"/>
            </w:tcMar>
            <w:vAlign w:val="center"/>
          </w:tcPr>
          <w:p w14:paraId="4D3C1969">
            <w:pPr>
              <w:rPr>
                <w:rFonts w:hint="eastAsia" w:ascii="微软雅黑" w:hAnsi="微软雅黑" w:eastAsia="微软雅黑" w:cs="微软雅黑"/>
                <w:i w:val="0"/>
                <w:iCs w:val="0"/>
                <w:caps w:val="0"/>
                <w:color w:val="333333"/>
                <w:spacing w:val="0"/>
                <w:sz w:val="19"/>
                <w:szCs w:val="19"/>
              </w:rPr>
            </w:pPr>
          </w:p>
        </w:tc>
      </w:tr>
    </w:tbl>
    <w:p w14:paraId="032F2DDD">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9．参赛队可同时获得团队奖项和企业奖项。企业奖项奖励由组委会和合作企业共同商定。</w:t>
      </w:r>
    </w:p>
    <w:p w14:paraId="31E2D31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10．初赛和决赛各个奖项均由组委会统一颁发荣誉证书。</w:t>
      </w:r>
    </w:p>
    <w:p w14:paraId="77EF706F">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11．全国总决赛颁发奖金，研电之星团队奖励10000元；“光载信息专项赛”单项奖奖励1000元，冠、亚、季军分别奖励5000元、3000元、2000元；单项奖奖励1000元；获得最佳团体奖的研究生培养单位，颁发最佳团体奖奖杯，并于奖杯上镌刻研究生培养单位名称，每届轮转。其他奖项奖励根据具体情况确定。</w:t>
      </w:r>
    </w:p>
    <w:p w14:paraId="7FDDFCC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12．华为6G方向初赛团队总数小于50队时，晋级决赛的团队数量不超过50%，未晋级团队获得初赛三等奖；大于50队时，可适当降低晋级决赛的比例，具体数量由竞赛专家组讨论确定。</w:t>
      </w:r>
    </w:p>
    <w:p w14:paraId="3D4EFF03">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13．华为6G方向晋级决赛的团队，由评审专家组按评审规则，评选出一、二、三等奖。对前三名参赛团队，分别授予冠、亚、季军奖项，冠军团队入围研电之星挑战赛，参与争夺研电之星称号。</w:t>
      </w:r>
    </w:p>
    <w:p w14:paraId="48700972">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14．华为6G专项赛奖金额为20万元人民币，分别为：</w:t>
      </w:r>
    </w:p>
    <w:p w14:paraId="195746F8">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冠军队4万，亚军队3万，季军队2万，共9万；全国一等奖：5队，每队1万，共5万；全国二等奖：10队，每队0.5万，共5万；全国三等奖：若干，颁发获奖证书与纪念品。（若晋级决赛的团队少于30队，适当减少获奖名额。）</w:t>
      </w:r>
    </w:p>
    <w:p w14:paraId="28637C26">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实习、面试优惠：获得华为6G专项赛一等奖及以上的赛队学生，可优先获得到华为相关业务部门实习的机会；毕业时应聘华为对口岗位，可获减免部分业务面试，优先录用。毕业时应聘华为对口岗位，拥有直通BOSS面试、免除部分业务面试（不含综合测评和机试）的资格； 有机会获得华为“天才少年”计划候选人资格； 如入职华为对口部门，享有优先选择加入具有挑战性项目团队的资格；有机会获得与华为专家进行一对一交流的机会；享有在华为2012无线技术实验室做技术分享的受邀资格；获得参观访问华为2012无线技术实验室的机会；优秀项目将有机会获得华为投资、创业立项等支持资格。</w:t>
      </w:r>
    </w:p>
    <w:p w14:paraId="0FFFB4A1">
      <w:pPr>
        <w:pStyle w:val="2"/>
        <w:keepNext w:val="0"/>
        <w:keepLines w:val="0"/>
        <w:widowControl/>
        <w:suppressLineNumbers w:val="0"/>
        <w:shd w:val="clear" w:fill="FFFFFF"/>
        <w:spacing w:before="0" w:beforeAutospacing="0" w:after="120" w:afterAutospacing="0"/>
        <w:ind w:left="0" w:right="0" w:firstLine="640"/>
        <w:jc w:val="both"/>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b/>
          <w:bCs/>
          <w:i w:val="0"/>
          <w:iCs w:val="0"/>
          <w:caps w:val="0"/>
          <w:color w:val="333333"/>
          <w:spacing w:val="0"/>
          <w:sz w:val="32"/>
          <w:szCs w:val="32"/>
          <w:shd w:val="clear" w:fill="FFFFFF"/>
        </w:rPr>
        <w:t> </w:t>
      </w:r>
      <w:r>
        <w:rPr>
          <w:rStyle w:val="5"/>
          <w:rFonts w:hint="eastAsia" w:ascii="微软雅黑" w:hAnsi="微软雅黑" w:eastAsia="微软雅黑" w:cs="微软雅黑"/>
          <w:b/>
          <w:bCs/>
          <w:i w:val="0"/>
          <w:iCs w:val="0"/>
          <w:caps w:val="0"/>
          <w:color w:val="333333"/>
          <w:spacing w:val="-6"/>
          <w:sz w:val="32"/>
          <w:szCs w:val="32"/>
          <w:shd w:val="clear" w:fill="FFFFFF"/>
        </w:rPr>
        <w:t>十、竞赛组委会联系方式：</w:t>
      </w:r>
    </w:p>
    <w:p w14:paraId="4C65EA9A">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联系人： 吴老师、刘老师</w:t>
      </w:r>
    </w:p>
    <w:p w14:paraId="1C563E01">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答疑电话：400-885-0611</w:t>
      </w:r>
    </w:p>
    <w:p w14:paraId="519D9492">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官方微信号/视频号：cieeda</w:t>
      </w:r>
    </w:p>
    <w:p w14:paraId="1BE88838">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组委会邮箱：cieeda@163.com</w:t>
      </w:r>
    </w:p>
    <w:p w14:paraId="6C50164A">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通讯地址：北京市海淀区玉渊潭南路普惠南里13号楼</w:t>
      </w:r>
    </w:p>
    <w:p w14:paraId="1138DA17">
      <w:pPr>
        <w:pStyle w:val="2"/>
        <w:keepNext w:val="0"/>
        <w:keepLines w:val="0"/>
        <w:widowControl/>
        <w:suppressLineNumbers w:val="0"/>
        <w:shd w:val="clear" w:fill="FFFFFF"/>
        <w:spacing w:before="0" w:beforeAutospacing="0" w:after="120" w:afterAutospacing="0"/>
        <w:ind w:left="0" w:right="0" w:firstLine="640"/>
        <w:jc w:val="lef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 </w:t>
      </w:r>
    </w:p>
    <w:p w14:paraId="1DBB2491">
      <w:pPr>
        <w:pStyle w:val="2"/>
        <w:keepNext w:val="0"/>
        <w:keepLines w:val="0"/>
        <w:widowControl/>
        <w:suppressLineNumbers w:val="0"/>
        <w:shd w:val="clear" w:fill="FFFFFF"/>
        <w:spacing w:before="48" w:beforeAutospacing="0" w:after="204" w:afterAutospacing="0"/>
        <w:ind w:left="0" w:right="0" w:firstLine="640"/>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中国研究生电子设计竞赛组委会</w:t>
      </w:r>
    </w:p>
    <w:p w14:paraId="2DA179D9">
      <w:pPr>
        <w:pStyle w:val="2"/>
        <w:keepNext w:val="0"/>
        <w:keepLines w:val="0"/>
        <w:widowControl/>
        <w:suppressLineNumbers w:val="0"/>
        <w:shd w:val="clear" w:fill="FFFFFF"/>
        <w:spacing w:before="48" w:beforeAutospacing="0" w:after="204" w:afterAutospacing="0"/>
        <w:ind w:left="0" w:right="0" w:firstLine="640"/>
        <w:jc w:val="right"/>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32"/>
          <w:szCs w:val="32"/>
          <w:shd w:val="clear" w:fill="FFFFFF"/>
        </w:rPr>
        <w:t>2025年3月26日</w:t>
      </w:r>
    </w:p>
    <w:p w14:paraId="26761677">
      <w:pPr>
        <w:rPr>
          <w:rFonts w:ascii="微软雅黑" w:hAnsi="微软雅黑" w:eastAsia="微软雅黑" w:cs="微软雅黑"/>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F5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2025-06-06T00:24:12Z</dcterms:created>
  <dc:creator>Administrator</dc:creator>
  <cp:lastModifiedBy>chao</cp:lastModifiedBy>
  <dcterms:modified xsi:type="dcterms:W3CDTF">2025-06-06T00:25:56Z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eyJoZGlkIjoiNzFmZDViN2MwMDgwNjMyYTZmOTRlMDg0ZDAxMzFiMTkiLCJ1c2VySWQiOiIyMjM1MzQ4NzgifQ==</vt:lpwstr>
  </property>
  <property fmtid="{D5CDD505-2E9C-101B-9397-08002B2CF9AE}" pid="4" name="ICV">
    <vt:lpwstr>63B3183755FA482AA4EE3C0D3B6A5B23_12</vt:lpwstr>
  </property>
</Properties>
</file>